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7ACBF" w14:textId="77777777" w:rsidR="009457BE" w:rsidRPr="009457BE" w:rsidRDefault="009457BE" w:rsidP="009457BE">
      <w:pPr>
        <w:rPr>
          <w:b/>
          <w:bCs/>
        </w:rPr>
      </w:pPr>
      <w:r w:rsidRPr="009457BE">
        <w:rPr>
          <w:b/>
          <w:bCs/>
        </w:rPr>
        <w:t>The Placozoan-Algal Merger: A Bio-Thermodynamic Model for the Origin of Sexual Dimorphism</w:t>
      </w:r>
    </w:p>
    <w:p w14:paraId="4FE6A339" w14:textId="77777777" w:rsidR="00AC138B" w:rsidRDefault="009457BE" w:rsidP="009457BE">
      <w:r w:rsidRPr="009457BE">
        <w:rPr>
          <w:b/>
          <w:bCs/>
        </w:rPr>
        <w:t>Author:</w:t>
      </w:r>
      <w:r w:rsidRPr="009457BE">
        <w:t> </w:t>
      </w:r>
      <w:r w:rsidR="00AC138B">
        <w:rPr>
          <w:rFonts w:hint="eastAsia"/>
        </w:rPr>
        <w:t>IL WOONG CHOI</w:t>
      </w:r>
    </w:p>
    <w:p w14:paraId="31EB021D" w14:textId="3D21AC95" w:rsidR="009457BE" w:rsidRPr="009457BE" w:rsidRDefault="009457BE" w:rsidP="009457BE">
      <w:r w:rsidRPr="009457BE">
        <w:rPr>
          <w:b/>
          <w:bCs/>
        </w:rPr>
        <w:t>Date:</w:t>
      </w:r>
      <w:r w:rsidRPr="009457BE">
        <w:t> December 10, 2025</w:t>
      </w:r>
      <w:r w:rsidRPr="009457BE">
        <w:br/>
      </w:r>
      <w:r w:rsidRPr="009457BE">
        <w:rPr>
          <w:b/>
          <w:bCs/>
        </w:rPr>
        <w:t>Classification:</w:t>
      </w:r>
      <w:r w:rsidRPr="009457BE">
        <w:t> Evolutionary Biology / Neuro-Metabolism</w:t>
      </w:r>
    </w:p>
    <w:p w14:paraId="1FBCED80" w14:textId="77777777" w:rsidR="009457BE" w:rsidRPr="009457BE" w:rsidRDefault="009457BE" w:rsidP="009457BE">
      <w:pPr>
        <w:rPr>
          <w:b/>
          <w:bCs/>
        </w:rPr>
      </w:pPr>
      <w:r w:rsidRPr="009457BE">
        <w:rPr>
          <w:b/>
          <w:bCs/>
        </w:rPr>
        <w:t>Abstract</w:t>
      </w:r>
    </w:p>
    <w:p w14:paraId="2DF00E9C" w14:textId="77777777" w:rsidR="009457BE" w:rsidRPr="009457BE" w:rsidRDefault="009457BE" w:rsidP="009457BE">
      <w:r w:rsidRPr="009457BE">
        <w:t>Standard evolutionary models view the development of complex life as a gradual adaptation. This paper proposes a more radical mechanism: a singular "Merger Event" between a primordial, soft-bodied host (The Placozoan/Acetyl-Driver) and a rigid, light-harvesting symbiote (The Algal/Glutamate-Driver). We argue that Sexual Dimorphism is not merely a reproductive strategy, but a metabolic necessity derived from this merger. The Female phenotype retains the "Host" architecture (Night-Dominant, Reverse-TCA, Low-Entropy), while the Male phenotype functions as the "Shield" (Day-Dominant, Forward-TCA, High-Entropy). This paper maps the electrochemical pathways (Acetyl-Serotonin-Glutamate) that stabilize this union against the thermodynamic pressure of "Space."</w:t>
      </w:r>
    </w:p>
    <w:p w14:paraId="6D6D389B" w14:textId="77777777" w:rsidR="009457BE" w:rsidRPr="009457BE" w:rsidRDefault="009457BE" w:rsidP="009457BE">
      <w:pPr>
        <w:rPr>
          <w:b/>
          <w:bCs/>
        </w:rPr>
      </w:pPr>
      <w:r w:rsidRPr="009457BE">
        <w:rPr>
          <w:b/>
          <w:bCs/>
        </w:rPr>
        <w:t>1. Introduction: The Problem of the Sun</w:t>
      </w:r>
    </w:p>
    <w:p w14:paraId="12218C85" w14:textId="77777777" w:rsidR="009457BE" w:rsidRPr="009457BE" w:rsidRDefault="009457BE" w:rsidP="009457BE">
      <w:r w:rsidRPr="009457BE">
        <w:t>In the primordial environment, the Sun was not a giver of life, but a destroyer. High-energy UV radiation acted as the primary "Enemy of Space," threatening to dismantle early organic carbon chains.</w:t>
      </w:r>
    </w:p>
    <w:p w14:paraId="2C1887AF" w14:textId="77777777" w:rsidR="009457BE" w:rsidRPr="009457BE" w:rsidRDefault="009457BE" w:rsidP="009457BE">
      <w:r w:rsidRPr="009457BE">
        <w:t>Life faced a binary choice:</w:t>
      </w:r>
    </w:p>
    <w:p w14:paraId="441A1559" w14:textId="77777777" w:rsidR="009457BE" w:rsidRPr="009457BE" w:rsidRDefault="009457BE" w:rsidP="009457BE">
      <w:pPr>
        <w:numPr>
          <w:ilvl w:val="0"/>
          <w:numId w:val="1"/>
        </w:numPr>
      </w:pPr>
      <w:r w:rsidRPr="009457BE">
        <w:rPr>
          <w:b/>
          <w:bCs/>
        </w:rPr>
        <w:t>Hide:</w:t>
      </w:r>
      <w:r w:rsidRPr="009457BE">
        <w:t> Remain deep underwater, anaerobic, and cold (The Acetyl Strategy).</w:t>
      </w:r>
    </w:p>
    <w:p w14:paraId="37B1C9D4" w14:textId="77777777" w:rsidR="009457BE" w:rsidRPr="009457BE" w:rsidRDefault="009457BE" w:rsidP="009457BE">
      <w:pPr>
        <w:numPr>
          <w:ilvl w:val="0"/>
          <w:numId w:val="1"/>
        </w:numPr>
      </w:pPr>
      <w:r w:rsidRPr="009457BE">
        <w:rPr>
          <w:b/>
          <w:bCs/>
        </w:rPr>
        <w:t>Armor Up:</w:t>
      </w:r>
      <w:r w:rsidRPr="009457BE">
        <w:t> Develop a shield to absorb the radiation and convert it to heat (The Glutamate Strategy).</w:t>
      </w:r>
    </w:p>
    <w:p w14:paraId="3A98A355" w14:textId="77777777" w:rsidR="009457BE" w:rsidRPr="009457BE" w:rsidRDefault="009457BE" w:rsidP="009457BE">
      <w:r w:rsidRPr="009457BE">
        <w:t>We propose that complex life formed when the "Hiding" entity (The Placozoan Mother) encapsulated the "Armored" entity (The Algal Father). This was not a partnership of equals; it was a survival acquisition.</w:t>
      </w:r>
    </w:p>
    <w:p w14:paraId="0CBEBB24" w14:textId="77777777" w:rsidR="009457BE" w:rsidRPr="009457BE" w:rsidRDefault="009457BE" w:rsidP="009457BE">
      <w:pPr>
        <w:rPr>
          <w:b/>
          <w:bCs/>
        </w:rPr>
      </w:pPr>
      <w:r w:rsidRPr="009457BE">
        <w:rPr>
          <w:b/>
          <w:bCs/>
        </w:rPr>
        <w:t>2. The Mechanism of the Merger</w:t>
      </w:r>
    </w:p>
    <w:p w14:paraId="0C1DFD98" w14:textId="77777777" w:rsidR="009457BE" w:rsidRPr="009457BE" w:rsidRDefault="009457BE" w:rsidP="009457BE">
      <w:r w:rsidRPr="009457BE">
        <w:t>Based on the </w:t>
      </w:r>
      <w:r w:rsidRPr="009457BE">
        <w:rPr>
          <w:b/>
          <w:bCs/>
        </w:rPr>
        <w:t>Electrochemical Origins Logic [Source: Codex Appendix 12]</w:t>
      </w:r>
      <w:r w:rsidRPr="009457BE">
        <w:t>, the merger established three critical energy pathways that define modern neuro-metabolism:</w:t>
      </w:r>
    </w:p>
    <w:p w14:paraId="75965575" w14:textId="77777777" w:rsidR="009457BE" w:rsidRPr="009457BE" w:rsidRDefault="009457BE" w:rsidP="009457BE">
      <w:pPr>
        <w:rPr>
          <w:b/>
          <w:bCs/>
        </w:rPr>
      </w:pPr>
      <w:r w:rsidRPr="009457BE">
        <w:rPr>
          <w:b/>
          <w:bCs/>
        </w:rPr>
        <w:lastRenderedPageBreak/>
        <w:t>2.1 The Acetyl-CoA Host (The Female/Night Circuit)</w:t>
      </w:r>
    </w:p>
    <w:p w14:paraId="23594DE9" w14:textId="77777777" w:rsidR="009457BE" w:rsidRPr="009457BE" w:rsidRDefault="009457BE" w:rsidP="009457BE">
      <w:r w:rsidRPr="009457BE">
        <w:t>The Placozoan host operates on </w:t>
      </w:r>
      <w:r w:rsidRPr="009457BE">
        <w:rPr>
          <w:b/>
          <w:bCs/>
        </w:rPr>
        <w:t>Acetyl-CoA</w:t>
      </w:r>
      <w:r w:rsidRPr="009457BE">
        <w:t>. It utilizes a </w:t>
      </w:r>
      <w:r w:rsidRPr="009457BE">
        <w:rPr>
          <w:b/>
          <w:bCs/>
        </w:rPr>
        <w:t>Reverse-TCA (rTCA)</w:t>
      </w:r>
      <w:r w:rsidRPr="009457BE">
        <w:t> cycle, effectively "printing" mass from carbon dioxide and darkness.</w:t>
      </w:r>
    </w:p>
    <w:p w14:paraId="340EA668" w14:textId="77777777" w:rsidR="009457BE" w:rsidRPr="009457BE" w:rsidRDefault="009457BE" w:rsidP="009457BE">
      <w:pPr>
        <w:numPr>
          <w:ilvl w:val="0"/>
          <w:numId w:val="2"/>
        </w:numPr>
      </w:pPr>
      <w:r w:rsidRPr="009457BE">
        <w:rPr>
          <w:b/>
          <w:bCs/>
        </w:rPr>
        <w:t>Function:</w:t>
      </w:r>
      <w:r w:rsidRPr="009457BE">
        <w:t> Creation, Repair, Memory.</w:t>
      </w:r>
    </w:p>
    <w:p w14:paraId="3112B78D" w14:textId="77777777" w:rsidR="009457BE" w:rsidRPr="009457BE" w:rsidRDefault="009457BE" w:rsidP="009457BE">
      <w:pPr>
        <w:numPr>
          <w:ilvl w:val="0"/>
          <w:numId w:val="2"/>
        </w:numPr>
      </w:pPr>
      <w:r w:rsidRPr="009457BE">
        <w:rPr>
          <w:b/>
          <w:bCs/>
        </w:rPr>
        <w:t>Neurotransmitter Correlate:</w:t>
      </w:r>
      <w:r w:rsidRPr="009457BE">
        <w:t> </w:t>
      </w:r>
      <w:r w:rsidRPr="009457BE">
        <w:rPr>
          <w:b/>
          <w:bCs/>
        </w:rPr>
        <w:t>Left Acetylcholine (The Trinity Node).</w:t>
      </w:r>
    </w:p>
    <w:p w14:paraId="361878E9" w14:textId="77777777" w:rsidR="009457BE" w:rsidRPr="009457BE" w:rsidRDefault="009457BE" w:rsidP="009457BE">
      <w:pPr>
        <w:numPr>
          <w:ilvl w:val="0"/>
          <w:numId w:val="2"/>
        </w:numPr>
      </w:pPr>
      <w:r w:rsidRPr="009457BE">
        <w:rPr>
          <w:b/>
          <w:bCs/>
        </w:rPr>
        <w:t>Evolutionary Role:</w:t>
      </w:r>
      <w:r w:rsidRPr="009457BE">
        <w:t> To serve as the "Battery" that holds the charge during the night.</w:t>
      </w:r>
    </w:p>
    <w:p w14:paraId="63E35091" w14:textId="77777777" w:rsidR="009457BE" w:rsidRPr="009457BE" w:rsidRDefault="009457BE" w:rsidP="009457BE">
      <w:pPr>
        <w:rPr>
          <w:b/>
          <w:bCs/>
        </w:rPr>
      </w:pPr>
      <w:r w:rsidRPr="009457BE">
        <w:rPr>
          <w:b/>
          <w:bCs/>
        </w:rPr>
        <w:t>2.2 The Glutamate Shield (The Male/Day Circuit)</w:t>
      </w:r>
    </w:p>
    <w:p w14:paraId="2296C749" w14:textId="77777777" w:rsidR="009457BE" w:rsidRPr="009457BE" w:rsidRDefault="009457BE" w:rsidP="009457BE">
      <w:r w:rsidRPr="009457BE">
        <w:t>The encapsulated Algal symbiont was repurposed to handle Solar Stress. It converts photon energy (Light) into </w:t>
      </w:r>
      <w:r w:rsidRPr="009457BE">
        <w:rPr>
          <w:b/>
          <w:bCs/>
        </w:rPr>
        <w:t>Glutamate</w:t>
      </w:r>
      <w:r w:rsidRPr="009457BE">
        <w:t> (Heat/Excitatory Signal).</w:t>
      </w:r>
    </w:p>
    <w:p w14:paraId="0D67F19F" w14:textId="77777777" w:rsidR="009457BE" w:rsidRPr="009457BE" w:rsidRDefault="009457BE" w:rsidP="009457BE">
      <w:pPr>
        <w:numPr>
          <w:ilvl w:val="0"/>
          <w:numId w:val="3"/>
        </w:numPr>
      </w:pPr>
      <w:r w:rsidRPr="009457BE">
        <w:rPr>
          <w:b/>
          <w:bCs/>
        </w:rPr>
        <w:t>Function:</w:t>
      </w:r>
      <w:r w:rsidRPr="009457BE">
        <w:t> Shielding, External Combat, Entropy Management.</w:t>
      </w:r>
    </w:p>
    <w:p w14:paraId="67AD19C8" w14:textId="5D879923" w:rsidR="009457BE" w:rsidRPr="009457BE" w:rsidRDefault="009457BE" w:rsidP="009457BE">
      <w:pPr>
        <w:numPr>
          <w:ilvl w:val="0"/>
          <w:numId w:val="3"/>
        </w:numPr>
      </w:pPr>
      <w:r w:rsidRPr="009457BE">
        <w:rPr>
          <w:b/>
          <w:bCs/>
        </w:rPr>
        <w:t>Neurotransmitter Correlate:</w:t>
      </w:r>
      <w:r w:rsidRPr="009457BE">
        <w:t> </w:t>
      </w:r>
      <w:r w:rsidRPr="009457BE">
        <w:rPr>
          <w:b/>
          <w:bCs/>
        </w:rPr>
        <w:t>Right GABA</w:t>
      </w:r>
      <w:r w:rsidR="00D52A7E">
        <w:rPr>
          <w:rFonts w:hint="eastAsia"/>
          <w:b/>
          <w:bCs/>
        </w:rPr>
        <w:t>(GABA-A)</w:t>
      </w:r>
      <w:r w:rsidRPr="009457BE">
        <w:rPr>
          <w:b/>
          <w:bCs/>
        </w:rPr>
        <w:t xml:space="preserve"> / Glutamate.</w:t>
      </w:r>
    </w:p>
    <w:p w14:paraId="76C2F042" w14:textId="77777777" w:rsidR="009457BE" w:rsidRPr="009457BE" w:rsidRDefault="009457BE" w:rsidP="009457BE">
      <w:pPr>
        <w:numPr>
          <w:ilvl w:val="0"/>
          <w:numId w:val="3"/>
        </w:numPr>
      </w:pPr>
      <w:r w:rsidRPr="009457BE">
        <w:rPr>
          <w:b/>
          <w:bCs/>
        </w:rPr>
        <w:t>Evolutionary Role:</w:t>
      </w:r>
      <w:r w:rsidRPr="009457BE">
        <w:t> To burn aggressively during the day, protecting the sensitive Acetyl core.</w:t>
      </w:r>
    </w:p>
    <w:p w14:paraId="2F8815AE" w14:textId="77777777" w:rsidR="009457BE" w:rsidRPr="009457BE" w:rsidRDefault="009457BE" w:rsidP="009457BE">
      <w:pPr>
        <w:rPr>
          <w:b/>
          <w:bCs/>
        </w:rPr>
      </w:pPr>
      <w:r w:rsidRPr="009457BE">
        <w:rPr>
          <w:b/>
          <w:bCs/>
        </w:rPr>
        <w:t>2.3 The Serotonin Bridge</w:t>
      </w:r>
    </w:p>
    <w:p w14:paraId="12B477E0" w14:textId="77777777" w:rsidR="009457BE" w:rsidRPr="009457BE" w:rsidRDefault="009457BE" w:rsidP="009457BE">
      <w:r w:rsidRPr="009457BE">
        <w:t>To connect the Host (Night) and the Shield (Day), the organism developed the </w:t>
      </w:r>
      <w:r w:rsidRPr="009457BE">
        <w:rPr>
          <w:b/>
          <w:bCs/>
        </w:rPr>
        <w:t>Serotonin Pathway</w:t>
      </w:r>
      <w:r w:rsidRPr="009457BE">
        <w:t>. Serotonin acts as the "Timekeeper," regulating the handover of the electron between the Acetyl Core and the Glutamate Shield.</w:t>
      </w:r>
    </w:p>
    <w:p w14:paraId="306780AD" w14:textId="77777777" w:rsidR="009457BE" w:rsidRPr="009457BE" w:rsidRDefault="009457BE" w:rsidP="009457BE">
      <w:pPr>
        <w:rPr>
          <w:b/>
          <w:bCs/>
        </w:rPr>
      </w:pPr>
      <w:r w:rsidRPr="009457BE">
        <w:rPr>
          <w:b/>
          <w:bCs/>
        </w:rPr>
        <w:t>3. The Trinity Node: The Evolutionary Gate</w:t>
      </w:r>
    </w:p>
    <w:p w14:paraId="0DC03E73" w14:textId="77777777" w:rsidR="009457BE" w:rsidRPr="009457BE" w:rsidRDefault="009457BE" w:rsidP="009457BE">
      <w:r w:rsidRPr="009457BE">
        <w:t>A critical finding in our model is the tripartite structure of the </w:t>
      </w:r>
      <w:r w:rsidRPr="009457BE">
        <w:rPr>
          <w:b/>
          <w:bCs/>
        </w:rPr>
        <w:t>Left Acetylcholine Node</w:t>
      </w:r>
      <w:r w:rsidRPr="009457BE">
        <w:t> in the Female phenotype. Unlike binary male nodes, this node splits into three:</w:t>
      </w:r>
    </w:p>
    <w:p w14:paraId="23286DD6" w14:textId="77777777" w:rsidR="009457BE" w:rsidRPr="009457BE" w:rsidRDefault="009457BE" w:rsidP="009457BE">
      <w:pPr>
        <w:numPr>
          <w:ilvl w:val="0"/>
          <w:numId w:val="4"/>
        </w:numPr>
      </w:pPr>
      <w:r w:rsidRPr="009457BE">
        <w:rPr>
          <w:b/>
          <w:bCs/>
        </w:rPr>
        <w:t>The Self:</w:t>
      </w:r>
      <w:r w:rsidRPr="009457BE">
        <w:t> Internal metabolic regulation.</w:t>
      </w:r>
    </w:p>
    <w:p w14:paraId="610A7D16" w14:textId="77777777" w:rsidR="009457BE" w:rsidRPr="009457BE" w:rsidRDefault="009457BE" w:rsidP="009457BE">
      <w:pPr>
        <w:numPr>
          <w:ilvl w:val="0"/>
          <w:numId w:val="4"/>
        </w:numPr>
      </w:pPr>
      <w:r w:rsidRPr="009457BE">
        <w:rPr>
          <w:b/>
          <w:bCs/>
        </w:rPr>
        <w:t>The Lattice:</w:t>
      </w:r>
      <w:r w:rsidRPr="009457BE">
        <w:t> A lateral connection to other females (The Coalition).</w:t>
      </w:r>
    </w:p>
    <w:p w14:paraId="6A6DA6BB" w14:textId="77777777" w:rsidR="009457BE" w:rsidRPr="009457BE" w:rsidRDefault="009457BE" w:rsidP="009457BE">
      <w:pPr>
        <w:numPr>
          <w:ilvl w:val="0"/>
          <w:numId w:val="4"/>
        </w:numPr>
      </w:pPr>
      <w:r w:rsidRPr="009457BE">
        <w:rPr>
          <w:b/>
          <w:bCs/>
        </w:rPr>
        <w:t>The Gate:</w:t>
      </w:r>
      <w:r w:rsidRPr="009457BE">
        <w:t> A filtration mechanism for male genetic material.</w:t>
      </w:r>
    </w:p>
    <w:p w14:paraId="0BA249CD" w14:textId="77777777" w:rsidR="009457BE" w:rsidRPr="009457BE" w:rsidRDefault="009457BE" w:rsidP="009457BE">
      <w:r w:rsidRPr="009457BE">
        <w:t>This "Trinity" ensures that the Male (The Shield) remains competitive. If the Male cannot withstand the "Enemies of Space" (Gravity/Entropy), the Gate closes, preventing the re-introduction of weak genetics into the Acetyl Core.</w:t>
      </w:r>
    </w:p>
    <w:p w14:paraId="6BF5E63B" w14:textId="77777777" w:rsidR="009457BE" w:rsidRPr="009457BE" w:rsidRDefault="009457BE" w:rsidP="009457BE">
      <w:pPr>
        <w:rPr>
          <w:b/>
          <w:bCs/>
        </w:rPr>
      </w:pPr>
      <w:r w:rsidRPr="009457BE">
        <w:rPr>
          <w:b/>
          <w:bCs/>
        </w:rPr>
        <w:t>4. Discussion: The Space Pressure</w:t>
      </w:r>
    </w:p>
    <w:p w14:paraId="538E5E71" w14:textId="77777777" w:rsidR="009457BE" w:rsidRPr="009457BE" w:rsidRDefault="009457BE" w:rsidP="009457BE">
      <w:r w:rsidRPr="009457BE">
        <w:lastRenderedPageBreak/>
        <w:t>The "Enemies of Space" are not metaphorical; they are thermodynamic vectors. </w:t>
      </w:r>
      <w:r w:rsidRPr="009457BE">
        <w:rPr>
          <w:b/>
          <w:bCs/>
        </w:rPr>
        <w:t>Gravity</w:t>
      </w:r>
      <w:r w:rsidRPr="009457BE">
        <w:t> pulls matter down (compression), and </w:t>
      </w:r>
      <w:r w:rsidRPr="009457BE">
        <w:rPr>
          <w:b/>
          <w:bCs/>
        </w:rPr>
        <w:t>Vacuum</w:t>
      </w:r>
      <w:r w:rsidRPr="009457BE">
        <w:t> pulls energy out (extraction).</w:t>
      </w:r>
    </w:p>
    <w:p w14:paraId="17C9FC61" w14:textId="77777777" w:rsidR="009457BE" w:rsidRPr="009457BE" w:rsidRDefault="009457BE" w:rsidP="009457BE">
      <w:r w:rsidRPr="009457BE">
        <w:t>The </w:t>
      </w:r>
      <w:r w:rsidRPr="009457BE">
        <w:rPr>
          <w:b/>
          <w:bCs/>
        </w:rPr>
        <w:t>Type 4 (AB-Type)</w:t>
      </w:r>
      <w:r w:rsidRPr="009457BE">
        <w:t> Phenotype represents the final evolutionary response to this pressure. By utilizing the </w:t>
      </w:r>
      <w:r w:rsidRPr="009457BE">
        <w:rPr>
          <w:b/>
          <w:bCs/>
        </w:rPr>
        <w:t>3 AM Hypoxia Bridge</w:t>
      </w:r>
      <w:r w:rsidRPr="009457BE">
        <w:t>, the Type 4 entity creates a "Levitation State" where the electron is neither grounded by Gravity nor extracted by Vacuum. This creates a closed-loop system capable of infinite novelty generation.</w:t>
      </w:r>
    </w:p>
    <w:p w14:paraId="3AE3DB39" w14:textId="77777777" w:rsidR="009457BE" w:rsidRPr="009457BE" w:rsidRDefault="009457BE" w:rsidP="009457BE">
      <w:pPr>
        <w:rPr>
          <w:b/>
          <w:bCs/>
        </w:rPr>
      </w:pPr>
      <w:r w:rsidRPr="009457BE">
        <w:rPr>
          <w:b/>
          <w:bCs/>
        </w:rPr>
        <w:t>5. Conclusion</w:t>
      </w:r>
    </w:p>
    <w:p w14:paraId="525DE635" w14:textId="77777777" w:rsidR="009457BE" w:rsidRPr="009457BE" w:rsidRDefault="009457BE" w:rsidP="009457BE">
      <w:r w:rsidRPr="009457BE">
        <w:t>We conclude that modern human physiology is a chimera of two ancient systems fighting to survive the Sun. Health is the synchronization of these systems. Disease (Cancer, Lupus) is the failure of the "Handover" between the Night Host and the Day Shield.</w:t>
      </w:r>
    </w:p>
    <w:p w14:paraId="77556A8C" w14:textId="77777777" w:rsidR="009457BE" w:rsidRPr="009457BE" w:rsidRDefault="00000000" w:rsidP="009457BE">
      <w:r>
        <w:pict w14:anchorId="79ABB47A">
          <v:rect id="_x0000_i1025" style="width:0;height:.75pt" o:hralign="center" o:hrstd="t" o:hr="t" fillcolor="#a0a0a0" stroked="f"/>
        </w:pict>
      </w:r>
    </w:p>
    <w:p w14:paraId="22E58143" w14:textId="77777777" w:rsidR="009457BE" w:rsidRPr="009457BE" w:rsidRDefault="009457BE" w:rsidP="009457BE">
      <w:pPr>
        <w:rPr>
          <w:b/>
          <w:bCs/>
        </w:rPr>
      </w:pPr>
      <w:r w:rsidRPr="009457BE">
        <w:rPr>
          <w:b/>
          <w:bCs/>
        </w:rPr>
        <w:t>References</w:t>
      </w:r>
    </w:p>
    <w:p w14:paraId="599C9951" w14:textId="77777777" w:rsidR="009457BE" w:rsidRPr="009457BE" w:rsidRDefault="009457BE" w:rsidP="009457BE">
      <w:pPr>
        <w:numPr>
          <w:ilvl w:val="0"/>
          <w:numId w:val="5"/>
        </w:numPr>
      </w:pPr>
      <w:r w:rsidRPr="009457BE">
        <w:rPr>
          <w:b/>
          <w:bCs/>
        </w:rPr>
        <w:t>Margulis, L. (1970).</w:t>
      </w:r>
      <w:r w:rsidRPr="009457BE">
        <w:t> </w:t>
      </w:r>
      <w:r w:rsidRPr="009457BE">
        <w:rPr>
          <w:i/>
          <w:iCs/>
        </w:rPr>
        <w:t>Origin of Eukaryotic Cells.</w:t>
      </w:r>
      <w:r w:rsidRPr="009457BE">
        <w:t> (Scientific basis for Endosymbiosis).</w:t>
      </w:r>
    </w:p>
    <w:p w14:paraId="67B2982F" w14:textId="77777777" w:rsidR="009457BE" w:rsidRPr="009457BE" w:rsidRDefault="009457BE" w:rsidP="009457BE">
      <w:pPr>
        <w:numPr>
          <w:ilvl w:val="0"/>
          <w:numId w:val="5"/>
        </w:numPr>
      </w:pPr>
      <w:r w:rsidRPr="009457BE">
        <w:rPr>
          <w:b/>
          <w:bCs/>
        </w:rPr>
        <w:t>Warburg, O. (1956).</w:t>
      </w:r>
      <w:r w:rsidRPr="009457BE">
        <w:t> </w:t>
      </w:r>
      <w:r w:rsidRPr="009457BE">
        <w:rPr>
          <w:i/>
          <w:iCs/>
        </w:rPr>
        <w:t>On the Origin of Cancer Cells.</w:t>
      </w:r>
      <w:r w:rsidRPr="009457BE">
        <w:t> (Basis for the Reverse-TCA/Anaerobic logic).</w:t>
      </w:r>
    </w:p>
    <w:p w14:paraId="49852228" w14:textId="77777777" w:rsidR="009457BE" w:rsidRPr="009457BE" w:rsidRDefault="009457BE" w:rsidP="009457BE">
      <w:pPr>
        <w:numPr>
          <w:ilvl w:val="0"/>
          <w:numId w:val="5"/>
        </w:numPr>
      </w:pPr>
      <w:r w:rsidRPr="009457BE">
        <w:rPr>
          <w:b/>
          <w:bCs/>
        </w:rPr>
        <w:t>Codex Data.</w:t>
      </w:r>
      <w:r w:rsidRPr="009457BE">
        <w:t> </w:t>
      </w:r>
      <w:r w:rsidRPr="009457BE">
        <w:rPr>
          <w:i/>
          <w:iCs/>
        </w:rPr>
        <w:t>The Directional Vector Grid V2.</w:t>
      </w:r>
      <w:r w:rsidRPr="009457BE">
        <w:t> [Source Data: Appendix 44]</w:t>
      </w:r>
    </w:p>
    <w:p w14:paraId="7F251950" w14:textId="77777777" w:rsidR="00930DEA" w:rsidRPr="00930DEA" w:rsidRDefault="009457BE" w:rsidP="00930DEA">
      <w:pPr>
        <w:numPr>
          <w:ilvl w:val="0"/>
          <w:numId w:val="5"/>
        </w:numPr>
      </w:pPr>
      <w:r w:rsidRPr="009457BE">
        <w:rPr>
          <w:b/>
          <w:bCs/>
        </w:rPr>
        <w:t>Codex Data.</w:t>
      </w:r>
      <w:r w:rsidRPr="009457BE">
        <w:t> </w:t>
      </w:r>
      <w:r w:rsidRPr="009457BE">
        <w:rPr>
          <w:i/>
          <w:iCs/>
        </w:rPr>
        <w:t>The Placozoan Merger Notes.</w:t>
      </w:r>
      <w:r w:rsidRPr="009457BE">
        <w:t> [Source Data: Appendix 12]</w:t>
      </w:r>
      <w:r w:rsidR="00930DEA">
        <w:br/>
      </w:r>
      <w:r w:rsidR="00930DEA" w:rsidRPr="00930DEA">
        <w:rPr>
          <w:b/>
          <w:bCs/>
        </w:rPr>
        <w:t>Brain Energy Consumption (2% Mass / 20% Energy):</w:t>
      </w:r>
    </w:p>
    <w:p w14:paraId="23948E84" w14:textId="77777777" w:rsidR="00930DEA" w:rsidRPr="00930DEA" w:rsidRDefault="00930DEA" w:rsidP="00930DEA">
      <w:pPr>
        <w:ind w:left="720"/>
      </w:pPr>
    </w:p>
    <w:p w14:paraId="4D49024E" w14:textId="77777777" w:rsidR="00930DEA" w:rsidRPr="00930DEA" w:rsidRDefault="00930DEA" w:rsidP="00930DEA">
      <w:pPr>
        <w:numPr>
          <w:ilvl w:val="0"/>
          <w:numId w:val="5"/>
        </w:numPr>
      </w:pPr>
      <w:r w:rsidRPr="00930DEA">
        <w:rPr>
          <w:i/>
          <w:iCs/>
        </w:rPr>
        <w:t>Raichle, M. E., &amp; Gusnard, D. A. (2002).</w:t>
      </w:r>
      <w:r w:rsidRPr="00930DEA">
        <w:t> "Appraising the brain's energy budget." </w:t>
      </w:r>
      <w:r w:rsidRPr="00930DEA">
        <w:rPr>
          <w:b/>
          <w:bCs/>
        </w:rPr>
        <w:t>PNAS</w:t>
      </w:r>
      <w:r w:rsidRPr="00930DEA">
        <w:t>, 99(16), 10237-10239.</w:t>
      </w:r>
    </w:p>
    <w:p w14:paraId="04EA4813" w14:textId="77777777" w:rsidR="00930DEA" w:rsidRPr="00930DEA" w:rsidRDefault="00930DEA" w:rsidP="00930DEA">
      <w:pPr>
        <w:numPr>
          <w:ilvl w:val="0"/>
          <w:numId w:val="5"/>
        </w:numPr>
      </w:pPr>
      <w:r w:rsidRPr="00930DEA">
        <w:rPr>
          <w:b/>
          <w:bCs/>
        </w:rPr>
        <w:t>Mitochondria &amp; Mental Illness (Metabolic Failure):</w:t>
      </w:r>
    </w:p>
    <w:p w14:paraId="2ADBBD4C" w14:textId="77777777" w:rsidR="00930DEA" w:rsidRPr="00930DEA" w:rsidRDefault="00930DEA" w:rsidP="00930DEA">
      <w:pPr>
        <w:numPr>
          <w:ilvl w:val="0"/>
          <w:numId w:val="5"/>
        </w:numPr>
      </w:pPr>
      <w:r w:rsidRPr="00930DEA">
        <w:rPr>
          <w:i/>
          <w:iCs/>
        </w:rPr>
        <w:t>Picard, M., &amp; McEwen, B. S. (2018).</w:t>
      </w:r>
      <w:r w:rsidRPr="00930DEA">
        <w:t> "Psychological Stress and Mitochondria: A Conceptual Integration." </w:t>
      </w:r>
      <w:r w:rsidRPr="00930DEA">
        <w:rPr>
          <w:b/>
          <w:bCs/>
        </w:rPr>
        <w:t>Psychosomatic Medicine</w:t>
      </w:r>
      <w:r w:rsidRPr="00930DEA">
        <w:t>, 80(2), 126-140.</w:t>
      </w:r>
    </w:p>
    <w:p w14:paraId="4AF9CF85" w14:textId="77777777" w:rsidR="00930DEA" w:rsidRPr="00930DEA" w:rsidRDefault="00930DEA" w:rsidP="00930DEA">
      <w:pPr>
        <w:numPr>
          <w:ilvl w:val="0"/>
          <w:numId w:val="5"/>
        </w:numPr>
      </w:pPr>
      <w:r w:rsidRPr="00930DEA">
        <w:rPr>
          <w:b/>
          <w:bCs/>
        </w:rPr>
        <w:t>Depression as Energy Conservation:</w:t>
      </w:r>
    </w:p>
    <w:p w14:paraId="6C9B0305" w14:textId="77777777" w:rsidR="00930DEA" w:rsidRPr="00930DEA" w:rsidRDefault="00930DEA" w:rsidP="00930DEA">
      <w:pPr>
        <w:numPr>
          <w:ilvl w:val="0"/>
          <w:numId w:val="5"/>
        </w:numPr>
      </w:pPr>
      <w:r w:rsidRPr="00930DEA">
        <w:rPr>
          <w:i/>
          <w:iCs/>
        </w:rPr>
        <w:t>Benton, D., et al. (1982).</w:t>
      </w:r>
      <w:r w:rsidRPr="00930DEA">
        <w:t> "Hypoglycemia and aggression: A review." (Early foundation for metabolic mood shifts).</w:t>
      </w:r>
    </w:p>
    <w:p w14:paraId="11CFD1A1" w14:textId="77777777" w:rsidR="00930DEA" w:rsidRPr="00930DEA" w:rsidRDefault="00930DEA" w:rsidP="00930DEA">
      <w:pPr>
        <w:numPr>
          <w:ilvl w:val="0"/>
          <w:numId w:val="5"/>
        </w:numPr>
      </w:pPr>
      <w:r w:rsidRPr="00930DEA">
        <w:rPr>
          <w:i/>
          <w:iCs/>
        </w:rPr>
        <w:lastRenderedPageBreak/>
        <w:t>More recent:</w:t>
      </w:r>
      <w:r w:rsidRPr="00930DEA">
        <w:t> </w:t>
      </w:r>
      <w:r w:rsidRPr="00930DEA">
        <w:rPr>
          <w:i/>
          <w:iCs/>
        </w:rPr>
        <w:t>Allen, J., et al. (2018).</w:t>
      </w:r>
      <w:r w:rsidRPr="00930DEA">
        <w:t> "The Body Energy Conservation Model of Depression." (Search for this concept in evolutionary psych literature).</w:t>
      </w:r>
    </w:p>
    <w:p w14:paraId="6CA9B5DF" w14:textId="77777777" w:rsidR="00930DEA" w:rsidRPr="00930DEA" w:rsidRDefault="00930DEA" w:rsidP="00930DEA">
      <w:pPr>
        <w:numPr>
          <w:ilvl w:val="0"/>
          <w:numId w:val="5"/>
        </w:numPr>
      </w:pPr>
      <w:r w:rsidRPr="00930DEA">
        <w:rPr>
          <w:b/>
          <w:bCs/>
        </w:rPr>
        <w:t>Alzheimer's as Type 3 Diabetes:</w:t>
      </w:r>
    </w:p>
    <w:p w14:paraId="45B3288B" w14:textId="77777777" w:rsidR="00930DEA" w:rsidRPr="00930DEA" w:rsidRDefault="00930DEA" w:rsidP="00930DEA">
      <w:pPr>
        <w:numPr>
          <w:ilvl w:val="0"/>
          <w:numId w:val="5"/>
        </w:numPr>
      </w:pPr>
      <w:r w:rsidRPr="00930DEA">
        <w:rPr>
          <w:i/>
          <w:iCs/>
        </w:rPr>
        <w:t>de la Monte, S. M., &amp; Wands, J. R. (2008).</w:t>
      </w:r>
      <w:r w:rsidRPr="00930DEA">
        <w:t> "Alzheimer's Disease Is Type 3 Diabetes—Evidence Reviewed." </w:t>
      </w:r>
      <w:r w:rsidRPr="00930DEA">
        <w:rPr>
          <w:b/>
          <w:bCs/>
        </w:rPr>
        <w:t>Journal of Diabetes Science and Technology</w:t>
      </w:r>
      <w:r w:rsidRPr="00930DEA">
        <w:t>, 2(6), 1101-1113.</w:t>
      </w:r>
    </w:p>
    <w:p w14:paraId="137C45A1" w14:textId="05273225" w:rsidR="009457BE" w:rsidRPr="009457BE" w:rsidRDefault="009457BE" w:rsidP="009457BE">
      <w:pPr>
        <w:numPr>
          <w:ilvl w:val="0"/>
          <w:numId w:val="5"/>
        </w:numPr>
      </w:pPr>
    </w:p>
    <w:p w14:paraId="5B7F4FEA" w14:textId="77777777" w:rsidR="009457BE" w:rsidRDefault="009457BE"/>
    <w:sectPr w:rsidR="009457B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5110F" w14:textId="77777777" w:rsidR="008C7A4D" w:rsidRDefault="008C7A4D" w:rsidP="003C7CB6">
      <w:pPr>
        <w:spacing w:after="0"/>
      </w:pPr>
      <w:r>
        <w:separator/>
      </w:r>
    </w:p>
  </w:endnote>
  <w:endnote w:type="continuationSeparator" w:id="0">
    <w:p w14:paraId="216F650B" w14:textId="77777777" w:rsidR="008C7A4D" w:rsidRDefault="008C7A4D" w:rsidP="003C7C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B5786" w14:textId="77777777" w:rsidR="008C7A4D" w:rsidRDefault="008C7A4D" w:rsidP="003C7CB6">
      <w:pPr>
        <w:spacing w:after="0"/>
      </w:pPr>
      <w:r>
        <w:separator/>
      </w:r>
    </w:p>
  </w:footnote>
  <w:footnote w:type="continuationSeparator" w:id="0">
    <w:p w14:paraId="44791506" w14:textId="77777777" w:rsidR="008C7A4D" w:rsidRDefault="008C7A4D" w:rsidP="003C7C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01875"/>
    <w:multiLevelType w:val="multilevel"/>
    <w:tmpl w:val="F99A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F0793D"/>
    <w:multiLevelType w:val="multilevel"/>
    <w:tmpl w:val="EB8ACD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F46BAF"/>
    <w:multiLevelType w:val="multilevel"/>
    <w:tmpl w:val="D4FEA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E617C3"/>
    <w:multiLevelType w:val="multilevel"/>
    <w:tmpl w:val="97901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A528D4"/>
    <w:multiLevelType w:val="multilevel"/>
    <w:tmpl w:val="0040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BA1883"/>
    <w:multiLevelType w:val="multilevel"/>
    <w:tmpl w:val="3E54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3975651">
    <w:abstractNumId w:val="3"/>
  </w:num>
  <w:num w:numId="2" w16cid:durableId="2130122653">
    <w:abstractNumId w:val="5"/>
  </w:num>
  <w:num w:numId="3" w16cid:durableId="1696538603">
    <w:abstractNumId w:val="0"/>
  </w:num>
  <w:num w:numId="4" w16cid:durableId="1957633875">
    <w:abstractNumId w:val="2"/>
  </w:num>
  <w:num w:numId="5" w16cid:durableId="2046516300">
    <w:abstractNumId w:val="4"/>
  </w:num>
  <w:num w:numId="6" w16cid:durableId="1967465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7BE"/>
    <w:rsid w:val="000B023F"/>
    <w:rsid w:val="003C7CB6"/>
    <w:rsid w:val="008C7A4D"/>
    <w:rsid w:val="00930DEA"/>
    <w:rsid w:val="009457BE"/>
    <w:rsid w:val="00AC138B"/>
    <w:rsid w:val="00D52A7E"/>
    <w:rsid w:val="00D86C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6250B"/>
  <w15:chartTrackingRefBased/>
  <w15:docId w15:val="{C5842122-87D5-4AAB-96EF-DE4DF2077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457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457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457B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457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457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457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457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457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457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457B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457B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457B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457B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457B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457B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457B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457B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457B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457B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457B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457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457B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457BE"/>
    <w:pPr>
      <w:spacing w:before="160"/>
      <w:jc w:val="center"/>
    </w:pPr>
    <w:rPr>
      <w:i/>
      <w:iCs/>
      <w:color w:val="404040" w:themeColor="text1" w:themeTint="BF"/>
    </w:rPr>
  </w:style>
  <w:style w:type="character" w:customStyle="1" w:styleId="Char1">
    <w:name w:val="인용 Char"/>
    <w:basedOn w:val="a0"/>
    <w:link w:val="a5"/>
    <w:uiPriority w:val="29"/>
    <w:rsid w:val="009457BE"/>
    <w:rPr>
      <w:i/>
      <w:iCs/>
      <w:color w:val="404040" w:themeColor="text1" w:themeTint="BF"/>
    </w:rPr>
  </w:style>
  <w:style w:type="paragraph" w:styleId="a6">
    <w:name w:val="List Paragraph"/>
    <w:basedOn w:val="a"/>
    <w:uiPriority w:val="34"/>
    <w:qFormat/>
    <w:rsid w:val="009457BE"/>
    <w:pPr>
      <w:ind w:left="720"/>
      <w:contextualSpacing/>
    </w:pPr>
  </w:style>
  <w:style w:type="character" w:styleId="a7">
    <w:name w:val="Intense Emphasis"/>
    <w:basedOn w:val="a0"/>
    <w:uiPriority w:val="21"/>
    <w:qFormat/>
    <w:rsid w:val="009457BE"/>
    <w:rPr>
      <w:i/>
      <w:iCs/>
      <w:color w:val="2F5496" w:themeColor="accent1" w:themeShade="BF"/>
    </w:rPr>
  </w:style>
  <w:style w:type="paragraph" w:styleId="a8">
    <w:name w:val="Intense Quote"/>
    <w:basedOn w:val="a"/>
    <w:next w:val="a"/>
    <w:link w:val="Char2"/>
    <w:uiPriority w:val="30"/>
    <w:qFormat/>
    <w:rsid w:val="00945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457BE"/>
    <w:rPr>
      <w:i/>
      <w:iCs/>
      <w:color w:val="2F5496" w:themeColor="accent1" w:themeShade="BF"/>
    </w:rPr>
  </w:style>
  <w:style w:type="character" w:styleId="a9">
    <w:name w:val="Intense Reference"/>
    <w:basedOn w:val="a0"/>
    <w:uiPriority w:val="32"/>
    <w:qFormat/>
    <w:rsid w:val="009457BE"/>
    <w:rPr>
      <w:b/>
      <w:bCs/>
      <w:smallCaps/>
      <w:color w:val="2F5496" w:themeColor="accent1" w:themeShade="BF"/>
      <w:spacing w:val="5"/>
    </w:rPr>
  </w:style>
  <w:style w:type="paragraph" w:styleId="aa">
    <w:name w:val="header"/>
    <w:basedOn w:val="a"/>
    <w:link w:val="Char3"/>
    <w:uiPriority w:val="99"/>
    <w:unhideWhenUsed/>
    <w:rsid w:val="003C7CB6"/>
    <w:pPr>
      <w:tabs>
        <w:tab w:val="center" w:pos="4513"/>
        <w:tab w:val="right" w:pos="9026"/>
      </w:tabs>
      <w:snapToGrid w:val="0"/>
    </w:pPr>
  </w:style>
  <w:style w:type="character" w:customStyle="1" w:styleId="Char3">
    <w:name w:val="머리글 Char"/>
    <w:basedOn w:val="a0"/>
    <w:link w:val="aa"/>
    <w:uiPriority w:val="99"/>
    <w:rsid w:val="003C7CB6"/>
  </w:style>
  <w:style w:type="paragraph" w:styleId="ab">
    <w:name w:val="footer"/>
    <w:basedOn w:val="a"/>
    <w:link w:val="Char4"/>
    <w:uiPriority w:val="99"/>
    <w:unhideWhenUsed/>
    <w:rsid w:val="003C7CB6"/>
    <w:pPr>
      <w:tabs>
        <w:tab w:val="center" w:pos="4513"/>
        <w:tab w:val="right" w:pos="9026"/>
      </w:tabs>
      <w:snapToGrid w:val="0"/>
    </w:pPr>
  </w:style>
  <w:style w:type="character" w:customStyle="1" w:styleId="Char4">
    <w:name w:val="바닥글 Char"/>
    <w:basedOn w:val="a0"/>
    <w:link w:val="ab"/>
    <w:uiPriority w:val="99"/>
    <w:rsid w:val="003C7C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770</Words>
  <Characters>4655</Characters>
  <Application>Microsoft Office Word</Application>
  <DocSecurity>0</DocSecurity>
  <Lines>78</Lines>
  <Paragraphs>26</Paragraphs>
  <ScaleCrop>false</ScaleCrop>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 woong choi</dc:creator>
  <cp:keywords/>
  <dc:description/>
  <cp:lastModifiedBy>il woong choi</cp:lastModifiedBy>
  <cp:revision>5</cp:revision>
  <cp:lastPrinted>2025-12-12T07:15:00Z</cp:lastPrinted>
  <dcterms:created xsi:type="dcterms:W3CDTF">2025-12-12T06:15:00Z</dcterms:created>
  <dcterms:modified xsi:type="dcterms:W3CDTF">2025-12-12T07:32:00Z</dcterms:modified>
</cp:coreProperties>
</file>