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66E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 The Osteo</w:t>
      </w:r>
    </w:p>
    <w:p w14:paraId="1A775EB1" w14:textId="77777777" w:rsidR="004F2EBB" w:rsidRPr="004F2EBB" w:rsidRDefault="004F2EBB" w:rsidP="004F2EBB">
      <w:pPr>
        <w:pStyle w:val="a3"/>
        <w:spacing w:after="0"/>
        <w:rPr>
          <w:rFonts w:ascii="굴림체" w:eastAsia="굴림체" w:hAnsi="굴림체" w:cs="굴림체"/>
        </w:rPr>
      </w:pPr>
    </w:p>
    <w:p w14:paraId="7078726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Osteo-Electric Shield: Osteoporosis as a Biophysical Driver of Senile Leukemia via Hypoxic Niche Collapse</w:t>
      </w:r>
    </w:p>
    <w:p w14:paraId="57CAE6C3" w14:textId="77777777" w:rsidR="004F2EBB" w:rsidRPr="004F2EBB" w:rsidRDefault="004F2EBB" w:rsidP="004F2EBB">
      <w:pPr>
        <w:pStyle w:val="a3"/>
        <w:spacing w:after="0"/>
        <w:rPr>
          <w:rFonts w:ascii="굴림체" w:eastAsia="굴림체" w:hAnsi="굴림체" w:cs="굴림체"/>
        </w:rPr>
      </w:pPr>
    </w:p>
    <w:p w14:paraId="1E03A9F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Il Woong Choi</w:t>
      </w:r>
    </w:p>
    <w:p w14:paraId="0D9C74D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Independent Researcher, Seoul, Republic of Korea</w:t>
      </w:r>
    </w:p>
    <w:p w14:paraId="463B75E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Correspondence: iwchoikr@gmail.com</w:t>
      </w:r>
    </w:p>
    <w:p w14:paraId="72282824" w14:textId="77777777" w:rsidR="004F2EBB" w:rsidRPr="004F2EBB" w:rsidRDefault="004F2EBB" w:rsidP="004F2EBB">
      <w:pPr>
        <w:pStyle w:val="a3"/>
        <w:spacing w:after="0"/>
        <w:rPr>
          <w:rFonts w:ascii="굴림체" w:eastAsia="굴림체" w:hAnsi="굴림체" w:cs="굴림체"/>
        </w:rPr>
      </w:pPr>
    </w:p>
    <w:p w14:paraId="0998D083" w14:textId="77777777" w:rsidR="004F2EBB" w:rsidRPr="004F2EBB" w:rsidRDefault="004F2EBB" w:rsidP="004F2EBB">
      <w:pPr>
        <w:pStyle w:val="a3"/>
        <w:spacing w:after="0"/>
        <w:rPr>
          <w:rFonts w:ascii="굴림체" w:eastAsia="굴림체" w:hAnsi="굴림체" w:cs="굴림체"/>
        </w:rPr>
      </w:pPr>
    </w:p>
    <w:p w14:paraId="4683E690" w14:textId="77777777" w:rsidR="004F2EBB" w:rsidRPr="004F2EBB" w:rsidRDefault="004F2EBB" w:rsidP="004F2EBB">
      <w:pPr>
        <w:pStyle w:val="a3"/>
        <w:spacing w:after="0"/>
        <w:rPr>
          <w:rFonts w:ascii="굴림체" w:eastAsia="굴림체" w:hAnsi="굴림체" w:cs="굴림체"/>
        </w:rPr>
      </w:pPr>
    </w:p>
    <w:p w14:paraId="4D310C4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ABSTRACT</w:t>
      </w:r>
    </w:p>
    <w:p w14:paraId="6DB03A08" w14:textId="77777777" w:rsidR="004F2EBB" w:rsidRPr="004F2EBB" w:rsidRDefault="004F2EBB" w:rsidP="004F2EBB">
      <w:pPr>
        <w:pStyle w:val="a3"/>
        <w:spacing w:after="0"/>
        <w:rPr>
          <w:rFonts w:ascii="굴림체" w:eastAsia="굴림체" w:hAnsi="굴림체" w:cs="굴림체"/>
        </w:rPr>
      </w:pPr>
    </w:p>
    <w:p w14:paraId="1CAF40FD"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Acute Myeloid Leukemia (AML) and Myelodysplastic Syndromes (MDS) are overwhelmingly diseases of the elderly, yet the causal link between skeletal aging and hematopoietic malignancy remains under-explored. Current paradigms attribute senile leukemia to the stochastic accumulation of somatic mutations in hematopoietic stem cells (HSCs). This paper proposes an alternative biophysical hypothesis: that the bone matrix functions not merely as a scaffold, but as a piezoelectric, dielectric shield responsible for maintaining the hypoxic, low-radiation niche required for HSC quiescence. We hypothesize that Osteoporosis—specifically the loss of cortical bone density and piezoelectric signaling—constitutes a mechanical breach of this shield. The resulting increase in marrow oxygen tension and exposure to electromagnetic noise forces HSCs out of glycolytic stasis (G0) into oxidative metabolism, accelerating reactive oxygen species (ROS) generation and DNA damage. We propose that senile leukemia is fundamentally a secondary consequence of skeletal failure ("The Leaky Fortress"), suggesting that restoring the osteo-electric integrity of the niche via piezoelectric stimulation (whole-body vibration) and remineralization could serve as a potent preventative strategy against hematopoietic malignancy.</w:t>
      </w:r>
    </w:p>
    <w:p w14:paraId="0A5CFBF6" w14:textId="77777777" w:rsidR="004F2EBB" w:rsidRPr="004F2EBB" w:rsidRDefault="004F2EBB" w:rsidP="004F2EBB">
      <w:pPr>
        <w:pStyle w:val="a3"/>
        <w:spacing w:after="0"/>
        <w:rPr>
          <w:rFonts w:ascii="굴림체" w:eastAsia="굴림체" w:hAnsi="굴림체" w:cs="굴림체"/>
        </w:rPr>
      </w:pPr>
    </w:p>
    <w:p w14:paraId="2C3ABBE0" w14:textId="77777777" w:rsidR="004F2EBB" w:rsidRPr="004F2EBB" w:rsidRDefault="004F2EBB" w:rsidP="004F2EBB">
      <w:pPr>
        <w:pStyle w:val="a3"/>
        <w:spacing w:after="0"/>
        <w:rPr>
          <w:rFonts w:ascii="굴림체" w:eastAsia="굴림체" w:hAnsi="굴림체" w:cs="굴림체"/>
        </w:rPr>
      </w:pPr>
    </w:p>
    <w:p w14:paraId="644639FE" w14:textId="77777777" w:rsidR="004F2EBB" w:rsidRPr="004F2EBB" w:rsidRDefault="004F2EBB" w:rsidP="004F2EBB">
      <w:pPr>
        <w:pStyle w:val="a3"/>
        <w:spacing w:after="0"/>
        <w:rPr>
          <w:rFonts w:ascii="굴림체" w:eastAsia="굴림체" w:hAnsi="굴림체" w:cs="굴림체"/>
        </w:rPr>
      </w:pPr>
    </w:p>
    <w:p w14:paraId="752BB942"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1. INTRODUCTION</w:t>
      </w:r>
    </w:p>
    <w:p w14:paraId="296F2013" w14:textId="77777777" w:rsidR="004F2EBB" w:rsidRPr="004F2EBB" w:rsidRDefault="004F2EBB" w:rsidP="004F2EBB">
      <w:pPr>
        <w:pStyle w:val="a3"/>
        <w:spacing w:after="0"/>
        <w:rPr>
          <w:rFonts w:ascii="굴림체" w:eastAsia="굴림체" w:hAnsi="굴림체" w:cs="굴림체"/>
        </w:rPr>
      </w:pPr>
    </w:p>
    <w:p w14:paraId="272E3F9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coincidence of Osteoporosis and Leukemia in the geriatric population is clinically well-documented but mechanistically distinct. Osteoporosis is viewed as a disorder of mineral density and structural integrity, while Leukemia is viewed as a disorder of genetic stability and cellular proliferation. However, Hematopoietic Stem Cells (HSCs) reside exclusively within the bone marrow niche, an environment uniquely defined by the properties of the surrounding bone.</w:t>
      </w:r>
    </w:p>
    <w:p w14:paraId="344935CE" w14:textId="77777777" w:rsidR="004F2EBB" w:rsidRPr="004F2EBB" w:rsidRDefault="004F2EBB" w:rsidP="004F2EBB">
      <w:pPr>
        <w:pStyle w:val="a3"/>
        <w:spacing w:after="0"/>
        <w:rPr>
          <w:rFonts w:ascii="굴림체" w:eastAsia="굴림체" w:hAnsi="굴림체" w:cs="굴림체"/>
        </w:rPr>
      </w:pPr>
    </w:p>
    <w:p w14:paraId="77A1E60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 xml:space="preserve">Physiologically, the HSC niche is hypoxic (&lt;1-2% O₂), a state essential for maintaining stem cell "stemness" and genomic stability . Hypoxia </w:t>
      </w:r>
      <w:r w:rsidRPr="004F2EBB">
        <w:rPr>
          <w:rFonts w:ascii="굴림체" w:eastAsia="굴림체" w:hAnsi="굴림체" w:cs="굴림체"/>
        </w:rPr>
        <w:lastRenderedPageBreak/>
        <w:t>limits oxidative phosphorylation, forcing HSCs to rely on anaerobic glycolysis, thereby minimizing the production of Reactive Oxygen Species (ROS), the primary driver of somatic mutation .</w:t>
      </w:r>
    </w:p>
    <w:p w14:paraId="19031568" w14:textId="77777777" w:rsidR="004F2EBB" w:rsidRPr="004F2EBB" w:rsidRDefault="004F2EBB" w:rsidP="004F2EBB">
      <w:pPr>
        <w:pStyle w:val="a3"/>
        <w:spacing w:after="0"/>
        <w:rPr>
          <w:rFonts w:ascii="굴림체" w:eastAsia="굴림체" w:hAnsi="굴림체" w:cs="굴림체"/>
        </w:rPr>
      </w:pPr>
    </w:p>
    <w:p w14:paraId="2658EF5B"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This paper posits that the maintenance of this hypoxic sanctuary is an active biophysical function of the cortical bone, mediated by two mechanisms:</w:t>
      </w:r>
    </w:p>
    <w:p w14:paraId="3CE32EDB" w14:textId="77777777" w:rsidR="004F2EBB" w:rsidRPr="004F2EBB" w:rsidRDefault="004F2EBB" w:rsidP="004F2EBB">
      <w:pPr>
        <w:pStyle w:val="a3"/>
        <w:spacing w:after="0"/>
        <w:rPr>
          <w:rFonts w:ascii="굴림체" w:eastAsia="굴림체" w:hAnsi="굴림체" w:cs="굴림체"/>
        </w:rPr>
      </w:pPr>
    </w:p>
    <w:p w14:paraId="72895542"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dielectric shielding properties of the hydroxyapatite-collagen matrix</w:t>
      </w:r>
    </w:p>
    <w:p w14:paraId="1998ACAE" w14:textId="77777777" w:rsidR="004F2EBB" w:rsidRPr="004F2EBB" w:rsidRDefault="004F2EBB" w:rsidP="004F2EBB">
      <w:pPr>
        <w:pStyle w:val="a3"/>
        <w:spacing w:after="0"/>
        <w:rPr>
          <w:rFonts w:ascii="굴림체" w:eastAsia="굴림체" w:hAnsi="굴림체" w:cs="굴림체"/>
        </w:rPr>
      </w:pPr>
    </w:p>
    <w:p w14:paraId="112551AD"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piezoelectric "streaming potentials" generated by mechanical load that regulate osteocytic signaling</w:t>
      </w:r>
    </w:p>
    <w:p w14:paraId="5FBB11BE" w14:textId="77777777" w:rsidR="004F2EBB" w:rsidRPr="004F2EBB" w:rsidRDefault="004F2EBB" w:rsidP="004F2EBB">
      <w:pPr>
        <w:pStyle w:val="a3"/>
        <w:spacing w:after="0"/>
        <w:rPr>
          <w:rFonts w:ascii="굴림체" w:eastAsia="굴림체" w:hAnsi="굴림체" w:cs="굴림체"/>
        </w:rPr>
      </w:pPr>
    </w:p>
    <w:p w14:paraId="26A49332"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We hypothesize that the breakdown of these mechanisms in Osteoporosis leads to "Niche Collapse," creating an oxidative, high-noise environment that drives the malignant transformation of HSCs.</w:t>
      </w:r>
    </w:p>
    <w:p w14:paraId="12AFB198" w14:textId="77777777" w:rsidR="004F2EBB" w:rsidRPr="004F2EBB" w:rsidRDefault="004F2EBB" w:rsidP="004F2EBB">
      <w:pPr>
        <w:pStyle w:val="a3"/>
        <w:spacing w:after="0"/>
        <w:rPr>
          <w:rFonts w:ascii="굴림체" w:eastAsia="굴림체" w:hAnsi="굴림체" w:cs="굴림체"/>
        </w:rPr>
      </w:pPr>
    </w:p>
    <w:p w14:paraId="793CD22E" w14:textId="77777777" w:rsidR="004F2EBB" w:rsidRPr="004F2EBB" w:rsidRDefault="004F2EBB" w:rsidP="004F2EBB">
      <w:pPr>
        <w:pStyle w:val="a3"/>
        <w:spacing w:after="0"/>
        <w:rPr>
          <w:rFonts w:ascii="굴림체" w:eastAsia="굴림체" w:hAnsi="굴림체" w:cs="굴림체"/>
        </w:rPr>
      </w:pPr>
    </w:p>
    <w:p w14:paraId="2D58373B" w14:textId="77777777" w:rsidR="004F2EBB" w:rsidRPr="004F2EBB" w:rsidRDefault="004F2EBB" w:rsidP="004F2EBB">
      <w:pPr>
        <w:pStyle w:val="a3"/>
        <w:spacing w:after="0"/>
        <w:rPr>
          <w:rFonts w:ascii="굴림체" w:eastAsia="굴림체" w:hAnsi="굴림체" w:cs="굴림체"/>
        </w:rPr>
      </w:pPr>
    </w:p>
    <w:p w14:paraId="2C4BAA7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2. THE HYPOTHESIS: THE BONE AS A QUANTUM SHIELD</w:t>
      </w:r>
    </w:p>
    <w:p w14:paraId="6DD7CE34" w14:textId="77777777" w:rsidR="004F2EBB" w:rsidRPr="004F2EBB" w:rsidRDefault="004F2EBB" w:rsidP="004F2EBB">
      <w:pPr>
        <w:pStyle w:val="a3"/>
        <w:spacing w:after="0"/>
        <w:rPr>
          <w:rFonts w:ascii="굴림체" w:eastAsia="굴림체" w:hAnsi="굴림체" w:cs="굴림체"/>
        </w:rPr>
      </w:pPr>
    </w:p>
    <w:p w14:paraId="0B0E907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2.1. The Dielectric Barrier and Hypoxia</w:t>
      </w:r>
    </w:p>
    <w:p w14:paraId="48C8C42D" w14:textId="77777777" w:rsidR="004F2EBB" w:rsidRPr="004F2EBB" w:rsidRDefault="004F2EBB" w:rsidP="004F2EBB">
      <w:pPr>
        <w:pStyle w:val="a3"/>
        <w:spacing w:after="0"/>
        <w:rPr>
          <w:rFonts w:ascii="굴림체" w:eastAsia="굴림체" w:hAnsi="굴림체" w:cs="굴림체"/>
        </w:rPr>
      </w:pPr>
    </w:p>
    <w:p w14:paraId="591ACCD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Bone mineral (Hydroxyapatite) and collagen form a dense composite material with high dielectric impedance. This structure physically and electromagnetically isolates the marrow from the external environment.</w:t>
      </w:r>
    </w:p>
    <w:p w14:paraId="7431FDF1" w14:textId="77777777" w:rsidR="004F2EBB" w:rsidRPr="004F2EBB" w:rsidRDefault="004F2EBB" w:rsidP="004F2EBB">
      <w:pPr>
        <w:pStyle w:val="a3"/>
        <w:spacing w:after="0"/>
        <w:rPr>
          <w:rFonts w:ascii="굴림체" w:eastAsia="굴림체" w:hAnsi="굴림체" w:cs="굴림체"/>
        </w:rPr>
      </w:pPr>
    </w:p>
    <w:p w14:paraId="3CE8079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Hypothesis: Cortical bone thickness directly correlates with the oxygen gradient of the marrow. A dense, mineralized cortex restricts vascular perfusion to tightly regulated portals (Volkmann's canals), ensuring that the deep marrow remains hypoxic.</w:t>
      </w:r>
    </w:p>
    <w:p w14:paraId="2C778A84" w14:textId="77777777" w:rsidR="004F2EBB" w:rsidRPr="004F2EBB" w:rsidRDefault="004F2EBB" w:rsidP="004F2EBB">
      <w:pPr>
        <w:pStyle w:val="a3"/>
        <w:spacing w:after="0"/>
        <w:rPr>
          <w:rFonts w:ascii="굴림체" w:eastAsia="굴림체" w:hAnsi="굴림체" w:cs="굴림체"/>
        </w:rPr>
      </w:pPr>
    </w:p>
    <w:p w14:paraId="0109A3F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Mechanism: When cortical density fails (Osteoporosis), vascular permeability increases uncontrollably. "Oxygen leak" occurs, raising the partial pressure of oxygen (pO₂) in the niche. The hypoxic sanctuary becomes an oxidative chamber.</w:t>
      </w:r>
    </w:p>
    <w:p w14:paraId="69E36B61" w14:textId="77777777" w:rsidR="004F2EBB" w:rsidRPr="004F2EBB" w:rsidRDefault="004F2EBB" w:rsidP="004F2EBB">
      <w:pPr>
        <w:pStyle w:val="a3"/>
        <w:spacing w:after="0"/>
        <w:rPr>
          <w:rFonts w:ascii="굴림체" w:eastAsia="굴림체" w:hAnsi="굴림체" w:cs="굴림체"/>
        </w:rPr>
      </w:pPr>
    </w:p>
    <w:p w14:paraId="549B5ABB"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2.2. Piezoelectricity as the "Keep Alive" Signal</w:t>
      </w:r>
    </w:p>
    <w:p w14:paraId="66F48BDA" w14:textId="77777777" w:rsidR="004F2EBB" w:rsidRPr="004F2EBB" w:rsidRDefault="004F2EBB" w:rsidP="004F2EBB">
      <w:pPr>
        <w:pStyle w:val="a3"/>
        <w:spacing w:after="0"/>
        <w:rPr>
          <w:rFonts w:ascii="굴림체" w:eastAsia="굴림체" w:hAnsi="굴림체" w:cs="굴림체"/>
        </w:rPr>
      </w:pPr>
    </w:p>
    <w:p w14:paraId="4EA614D1"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Bone is a piezoelectric material. Mechanical stress (walking, vibration, impact) generates electrical potentials via the streaming of ions through microscopic tunnels called canaliculi .</w:t>
      </w:r>
    </w:p>
    <w:p w14:paraId="547981F9" w14:textId="77777777" w:rsidR="004F2EBB" w:rsidRPr="004F2EBB" w:rsidRDefault="004F2EBB" w:rsidP="004F2EBB">
      <w:pPr>
        <w:pStyle w:val="a3"/>
        <w:spacing w:after="0"/>
        <w:rPr>
          <w:rFonts w:ascii="굴림체" w:eastAsia="굴림체" w:hAnsi="굴림체" w:cs="굴림체"/>
        </w:rPr>
      </w:pPr>
    </w:p>
    <w:p w14:paraId="547C047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Hypothesis: This piezoelectric signal serves as the "Keep Alive" message. It tells the osteocytes (bone-resident cells) that the body is active and the shield is needed. The signal triggers the maintenance and deposition of new bone matrix.</w:t>
      </w:r>
    </w:p>
    <w:p w14:paraId="34C38532" w14:textId="77777777" w:rsidR="004F2EBB" w:rsidRPr="004F2EBB" w:rsidRDefault="004F2EBB" w:rsidP="004F2EBB">
      <w:pPr>
        <w:pStyle w:val="a3"/>
        <w:spacing w:after="0"/>
        <w:rPr>
          <w:rFonts w:ascii="굴림체" w:eastAsia="굴림체" w:hAnsi="굴림체" w:cs="굴림체"/>
        </w:rPr>
      </w:pPr>
    </w:p>
    <w:p w14:paraId="4BD9ABB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Failure Mode: In sedentary aging, this signal diminishes dramatically. The lack of piezoelectric voltage triggers osteocytic apoptosis and osteoclastic resorption—the body dissolves the shield because the "generator" is silent. This resorption further thins the barrier, creating a vicious cycle of accelerating niche collapse.</w:t>
      </w:r>
    </w:p>
    <w:p w14:paraId="789CD860" w14:textId="77777777" w:rsidR="004F2EBB" w:rsidRPr="004F2EBB" w:rsidRDefault="004F2EBB" w:rsidP="004F2EBB">
      <w:pPr>
        <w:pStyle w:val="a3"/>
        <w:spacing w:after="0"/>
        <w:rPr>
          <w:rFonts w:ascii="굴림체" w:eastAsia="굴림체" w:hAnsi="굴림체" w:cs="굴림체"/>
        </w:rPr>
      </w:pPr>
    </w:p>
    <w:p w14:paraId="3425DFB9" w14:textId="77777777" w:rsidR="004F2EBB" w:rsidRPr="004F2EBB" w:rsidRDefault="004F2EBB" w:rsidP="004F2EBB">
      <w:pPr>
        <w:pStyle w:val="a3"/>
        <w:spacing w:after="0"/>
        <w:rPr>
          <w:rFonts w:ascii="굴림체" w:eastAsia="굴림체" w:hAnsi="굴림체" w:cs="굴림체"/>
        </w:rPr>
      </w:pPr>
    </w:p>
    <w:p w14:paraId="2C0497FF" w14:textId="77777777" w:rsidR="004F2EBB" w:rsidRPr="004F2EBB" w:rsidRDefault="004F2EBB" w:rsidP="004F2EBB">
      <w:pPr>
        <w:pStyle w:val="a3"/>
        <w:spacing w:after="0"/>
        <w:rPr>
          <w:rFonts w:ascii="굴림체" w:eastAsia="굴림체" w:hAnsi="굴림체" w:cs="굴림체"/>
        </w:rPr>
      </w:pPr>
    </w:p>
    <w:p w14:paraId="4747D8AB"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3. EVALUATION OF THE HYPOTHESIS</w:t>
      </w:r>
    </w:p>
    <w:p w14:paraId="2A4FF974" w14:textId="77777777" w:rsidR="004F2EBB" w:rsidRPr="004F2EBB" w:rsidRDefault="004F2EBB" w:rsidP="004F2EBB">
      <w:pPr>
        <w:pStyle w:val="a3"/>
        <w:spacing w:after="0"/>
        <w:rPr>
          <w:rFonts w:ascii="굴림체" w:eastAsia="굴림체" w:hAnsi="굴림체" w:cs="굴림체"/>
        </w:rPr>
      </w:pPr>
    </w:p>
    <w:p w14:paraId="5921AF1B"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3.1. The Metabolic Switch: From Stasis to Burning</w:t>
      </w:r>
    </w:p>
    <w:p w14:paraId="7C478216" w14:textId="77777777" w:rsidR="004F2EBB" w:rsidRPr="004F2EBB" w:rsidRDefault="004F2EBB" w:rsidP="004F2EBB">
      <w:pPr>
        <w:pStyle w:val="a3"/>
        <w:spacing w:after="0"/>
        <w:rPr>
          <w:rFonts w:ascii="굴림체" w:eastAsia="굴림체" w:hAnsi="굴림체" w:cs="굴림체"/>
        </w:rPr>
      </w:pPr>
    </w:p>
    <w:p w14:paraId="5E5679A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Normal HSC state (Hypoxic Niche):</w:t>
      </w:r>
    </w:p>
    <w:p w14:paraId="3686F36F" w14:textId="77777777" w:rsidR="004F2EBB" w:rsidRPr="004F2EBB" w:rsidRDefault="004F2EBB" w:rsidP="004F2EBB">
      <w:pPr>
        <w:pStyle w:val="a3"/>
        <w:spacing w:after="0"/>
        <w:rPr>
          <w:rFonts w:ascii="굴림체" w:eastAsia="굴림체" w:hAnsi="굴림체" w:cs="굴림체"/>
        </w:rPr>
      </w:pPr>
    </w:p>
    <w:p w14:paraId="7235C06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HSCs utilize HIF-1α signaling to suppress mitochondrial respiration</w:t>
      </w:r>
    </w:p>
    <w:p w14:paraId="132298B8" w14:textId="77777777" w:rsidR="004F2EBB" w:rsidRPr="004F2EBB" w:rsidRDefault="004F2EBB" w:rsidP="004F2EBB">
      <w:pPr>
        <w:pStyle w:val="a3"/>
        <w:spacing w:after="0"/>
        <w:rPr>
          <w:rFonts w:ascii="굴림체" w:eastAsia="굴림체" w:hAnsi="굴림체" w:cs="굴림체"/>
        </w:rPr>
      </w:pPr>
    </w:p>
    <w:p w14:paraId="31497CF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This is "Time Stasis" mode—the metabolic clock runs slow</w:t>
      </w:r>
    </w:p>
    <w:p w14:paraId="6B4C23C9" w14:textId="77777777" w:rsidR="004F2EBB" w:rsidRPr="004F2EBB" w:rsidRDefault="004F2EBB" w:rsidP="004F2EBB">
      <w:pPr>
        <w:pStyle w:val="a3"/>
        <w:spacing w:after="0"/>
        <w:rPr>
          <w:rFonts w:ascii="굴림체" w:eastAsia="굴림체" w:hAnsi="굴림체" w:cs="굴림체"/>
        </w:rPr>
      </w:pPr>
    </w:p>
    <w:p w14:paraId="6305D33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ROS production is minimal</w:t>
      </w:r>
    </w:p>
    <w:p w14:paraId="71851FA0" w14:textId="77777777" w:rsidR="004F2EBB" w:rsidRPr="004F2EBB" w:rsidRDefault="004F2EBB" w:rsidP="004F2EBB">
      <w:pPr>
        <w:pStyle w:val="a3"/>
        <w:spacing w:after="0"/>
        <w:rPr>
          <w:rFonts w:ascii="굴림체" w:eastAsia="굴림체" w:hAnsi="굴림체" w:cs="굴림체"/>
        </w:rPr>
      </w:pPr>
    </w:p>
    <w:p w14:paraId="1B1B28E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Genomic stability is maintained</w:t>
      </w:r>
    </w:p>
    <w:p w14:paraId="7BFBD4A4" w14:textId="77777777" w:rsidR="004F2EBB" w:rsidRPr="004F2EBB" w:rsidRDefault="004F2EBB" w:rsidP="004F2EBB">
      <w:pPr>
        <w:pStyle w:val="a3"/>
        <w:spacing w:after="0"/>
        <w:rPr>
          <w:rFonts w:ascii="굴림체" w:eastAsia="굴림체" w:hAnsi="굴림체" w:cs="굴림체"/>
        </w:rPr>
      </w:pPr>
    </w:p>
    <w:p w14:paraId="07198B6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Cells remain quiescent (G0)</w:t>
      </w:r>
    </w:p>
    <w:p w14:paraId="7A065AD0" w14:textId="77777777" w:rsidR="004F2EBB" w:rsidRPr="004F2EBB" w:rsidRDefault="004F2EBB" w:rsidP="004F2EBB">
      <w:pPr>
        <w:pStyle w:val="a3"/>
        <w:spacing w:after="0"/>
        <w:rPr>
          <w:rFonts w:ascii="굴림체" w:eastAsia="굴림체" w:hAnsi="굴림체" w:cs="굴림체"/>
        </w:rPr>
      </w:pPr>
    </w:p>
    <w:p w14:paraId="60D6E0A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Osteoporotic HSC state (Hypoxic Breach):</w:t>
      </w:r>
    </w:p>
    <w:p w14:paraId="2E7694FC" w14:textId="77777777" w:rsidR="004F2EBB" w:rsidRPr="004F2EBB" w:rsidRDefault="004F2EBB" w:rsidP="004F2EBB">
      <w:pPr>
        <w:pStyle w:val="a3"/>
        <w:spacing w:after="0"/>
        <w:rPr>
          <w:rFonts w:ascii="굴림체" w:eastAsia="굴림체" w:hAnsi="굴림체" w:cs="굴림체"/>
        </w:rPr>
      </w:pPr>
    </w:p>
    <w:p w14:paraId="163E413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Oxygen floods the niche</w:t>
      </w:r>
    </w:p>
    <w:p w14:paraId="6D59BC1D" w14:textId="77777777" w:rsidR="004F2EBB" w:rsidRPr="004F2EBB" w:rsidRDefault="004F2EBB" w:rsidP="004F2EBB">
      <w:pPr>
        <w:pStyle w:val="a3"/>
        <w:spacing w:after="0"/>
        <w:rPr>
          <w:rFonts w:ascii="굴림체" w:eastAsia="굴림체" w:hAnsi="굴림체" w:cs="굴림체"/>
        </w:rPr>
      </w:pPr>
    </w:p>
    <w:p w14:paraId="2692A78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HIF-1α degrades (oxygen-dependent degradation)</w:t>
      </w:r>
    </w:p>
    <w:p w14:paraId="6331138C" w14:textId="77777777" w:rsidR="004F2EBB" w:rsidRPr="004F2EBB" w:rsidRDefault="004F2EBB" w:rsidP="004F2EBB">
      <w:pPr>
        <w:pStyle w:val="a3"/>
        <w:spacing w:after="0"/>
        <w:rPr>
          <w:rFonts w:ascii="굴림체" w:eastAsia="굴림체" w:hAnsi="굴림체" w:cs="굴림체"/>
        </w:rPr>
      </w:pPr>
    </w:p>
    <w:p w14:paraId="6CC7BC38"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HSCs are forced to switch to oxidative phosphorylation ("Burning")</w:t>
      </w:r>
    </w:p>
    <w:p w14:paraId="458CB2CB" w14:textId="77777777" w:rsidR="004F2EBB" w:rsidRPr="004F2EBB" w:rsidRDefault="004F2EBB" w:rsidP="004F2EBB">
      <w:pPr>
        <w:pStyle w:val="a3"/>
        <w:spacing w:after="0"/>
        <w:rPr>
          <w:rFonts w:ascii="굴림체" w:eastAsia="굴림체" w:hAnsi="굴림체" w:cs="굴림체"/>
        </w:rPr>
      </w:pPr>
    </w:p>
    <w:p w14:paraId="41B3F8B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Mitochondrial respiration increases dramatically</w:t>
      </w:r>
    </w:p>
    <w:p w14:paraId="3059CF63" w14:textId="77777777" w:rsidR="004F2EBB" w:rsidRPr="004F2EBB" w:rsidRDefault="004F2EBB" w:rsidP="004F2EBB">
      <w:pPr>
        <w:pStyle w:val="a3"/>
        <w:spacing w:after="0"/>
        <w:rPr>
          <w:rFonts w:ascii="굴림체" w:eastAsia="굴림체" w:hAnsi="굴림체" w:cs="굴림체"/>
        </w:rPr>
      </w:pPr>
    </w:p>
    <w:p w14:paraId="0075DE5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ROS production skyrockets (10-100 fold)</w:t>
      </w:r>
    </w:p>
    <w:p w14:paraId="44DE5244" w14:textId="77777777" w:rsidR="004F2EBB" w:rsidRPr="004F2EBB" w:rsidRDefault="004F2EBB" w:rsidP="004F2EBB">
      <w:pPr>
        <w:pStyle w:val="a3"/>
        <w:spacing w:after="0"/>
        <w:rPr>
          <w:rFonts w:ascii="굴림체" w:eastAsia="굴림체" w:hAnsi="굴림체" w:cs="굴림체"/>
        </w:rPr>
      </w:pPr>
    </w:p>
    <w:p w14:paraId="2006E52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Double-strand DNA breaks accumulate</w:t>
      </w:r>
    </w:p>
    <w:p w14:paraId="4392D8EC" w14:textId="77777777" w:rsidR="004F2EBB" w:rsidRPr="004F2EBB" w:rsidRDefault="004F2EBB" w:rsidP="004F2EBB">
      <w:pPr>
        <w:pStyle w:val="a3"/>
        <w:spacing w:after="0"/>
        <w:rPr>
          <w:rFonts w:ascii="굴림체" w:eastAsia="굴림체" w:hAnsi="굴림체" w:cs="굴림체"/>
        </w:rPr>
      </w:pPr>
    </w:p>
    <w:p w14:paraId="7398ACF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In an aging marrow, this constant oxidative stress becomes the engine of mutation leading to MDS and AML</w:t>
      </w:r>
    </w:p>
    <w:p w14:paraId="432FD09A" w14:textId="77777777" w:rsidR="004F2EBB" w:rsidRPr="004F2EBB" w:rsidRDefault="004F2EBB" w:rsidP="004F2EBB">
      <w:pPr>
        <w:pStyle w:val="a3"/>
        <w:spacing w:after="0"/>
        <w:rPr>
          <w:rFonts w:ascii="굴림체" w:eastAsia="굴림체" w:hAnsi="굴림체" w:cs="굴림체"/>
        </w:rPr>
      </w:pPr>
    </w:p>
    <w:p w14:paraId="1C627432"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Critical Insight: The mutation is not random genetic bad luck. It is a desperate cellular adaptation to an oxygen-toxic environment. The HSC mutates to survive the oxidative stress, but in doing so, becomes leukemic.</w:t>
      </w:r>
    </w:p>
    <w:p w14:paraId="08106A40" w14:textId="77777777" w:rsidR="004F2EBB" w:rsidRPr="004F2EBB" w:rsidRDefault="004F2EBB" w:rsidP="004F2EBB">
      <w:pPr>
        <w:pStyle w:val="a3"/>
        <w:spacing w:after="0"/>
        <w:rPr>
          <w:rFonts w:ascii="굴림체" w:eastAsia="굴림체" w:hAnsi="굴림체" w:cs="굴림체"/>
        </w:rPr>
      </w:pPr>
    </w:p>
    <w:p w14:paraId="78C8C2A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lastRenderedPageBreak/>
        <w:t>3.2. The Radiation and Electromagnetic Noise Connection</w:t>
      </w:r>
    </w:p>
    <w:p w14:paraId="48E19E92" w14:textId="77777777" w:rsidR="004F2EBB" w:rsidRPr="004F2EBB" w:rsidRDefault="004F2EBB" w:rsidP="004F2EBB">
      <w:pPr>
        <w:pStyle w:val="a3"/>
        <w:spacing w:after="0"/>
        <w:rPr>
          <w:rFonts w:ascii="굴림체" w:eastAsia="굴림체" w:hAnsi="굴림체" w:cs="굴림체"/>
        </w:rPr>
      </w:pPr>
    </w:p>
    <w:p w14:paraId="128D2F91"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Hydroxyapatite is an effective shield against background radiation (gamma rays, cosmic rays) and low-frequency electromagnetic fields. A de-mineralized, osteoporotic skeleton offers significantly less shielding to the marrow interior.</w:t>
      </w:r>
    </w:p>
    <w:p w14:paraId="4D669010" w14:textId="77777777" w:rsidR="004F2EBB" w:rsidRPr="004F2EBB" w:rsidRDefault="004F2EBB" w:rsidP="004F2EBB">
      <w:pPr>
        <w:pStyle w:val="a3"/>
        <w:spacing w:after="0"/>
        <w:rPr>
          <w:rFonts w:ascii="굴림체" w:eastAsia="굴림체" w:hAnsi="굴림체" w:cs="굴림체"/>
        </w:rPr>
      </w:pPr>
    </w:p>
    <w:p w14:paraId="72B18D1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Hypothesis: The osteoporotic patient's marrow is exposed to higher cumulative doses of environmental radiation and electromagnetic noise compared to a healthy skeleton. This further destabilizes the "open" chromatin of replicating stem cells, accelerating the mutational process.</w:t>
      </w:r>
    </w:p>
    <w:p w14:paraId="207F0FBD" w14:textId="77777777" w:rsidR="004F2EBB" w:rsidRPr="004F2EBB" w:rsidRDefault="004F2EBB" w:rsidP="004F2EBB">
      <w:pPr>
        <w:pStyle w:val="a3"/>
        <w:spacing w:after="0"/>
        <w:rPr>
          <w:rFonts w:ascii="굴림체" w:eastAsia="굴림체" w:hAnsi="굴림체" w:cs="굴림체"/>
        </w:rPr>
      </w:pPr>
    </w:p>
    <w:p w14:paraId="458B91B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Additionally, the loss of the dielectric shield removes the electromagnetic "buffer" that normally protects the niche from external electromagnetic fields (from power lines, wireless signals, etc.), creating an environment of electromagnetic chaos.</w:t>
      </w:r>
    </w:p>
    <w:p w14:paraId="1661DAF8" w14:textId="77777777" w:rsidR="004F2EBB" w:rsidRPr="004F2EBB" w:rsidRDefault="004F2EBB" w:rsidP="004F2EBB">
      <w:pPr>
        <w:pStyle w:val="a3"/>
        <w:spacing w:after="0"/>
        <w:rPr>
          <w:rFonts w:ascii="굴림체" w:eastAsia="굴림체" w:hAnsi="굴림체" w:cs="굴림체"/>
        </w:rPr>
      </w:pPr>
    </w:p>
    <w:p w14:paraId="431A2C7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3.3. The Age Gradient</w:t>
      </w:r>
    </w:p>
    <w:p w14:paraId="5E29B3CA" w14:textId="77777777" w:rsidR="004F2EBB" w:rsidRPr="004F2EBB" w:rsidRDefault="004F2EBB" w:rsidP="004F2EBB">
      <w:pPr>
        <w:pStyle w:val="a3"/>
        <w:spacing w:after="0"/>
        <w:rPr>
          <w:rFonts w:ascii="굴림체" w:eastAsia="굴림체" w:hAnsi="굴림체" w:cs="굴림체"/>
        </w:rPr>
      </w:pPr>
    </w:p>
    <w:p w14:paraId="00E33A4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Why does leukemia incidence skyrocket after age 65? Because this is when Osteoporosis becomes widespread:</w:t>
      </w:r>
    </w:p>
    <w:p w14:paraId="284087B9" w14:textId="77777777" w:rsidR="004F2EBB" w:rsidRPr="004F2EBB" w:rsidRDefault="004F2EBB" w:rsidP="004F2EBB">
      <w:pPr>
        <w:pStyle w:val="a3"/>
        <w:spacing w:after="0"/>
        <w:rPr>
          <w:rFonts w:ascii="굴림체" w:eastAsia="굴림체" w:hAnsi="굴림체" w:cs="굴림체"/>
        </w:rPr>
      </w:pPr>
    </w:p>
    <w:p w14:paraId="4EA37F5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Peak bone mass is reached by age 30</w:t>
      </w:r>
    </w:p>
    <w:p w14:paraId="7158848E" w14:textId="77777777" w:rsidR="004F2EBB" w:rsidRPr="004F2EBB" w:rsidRDefault="004F2EBB" w:rsidP="004F2EBB">
      <w:pPr>
        <w:pStyle w:val="a3"/>
        <w:spacing w:after="0"/>
        <w:rPr>
          <w:rFonts w:ascii="굴림체" w:eastAsia="굴림체" w:hAnsi="굴림체" w:cs="굴림체"/>
        </w:rPr>
      </w:pPr>
    </w:p>
    <w:p w14:paraId="6BE2253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After age 40, men lose ~0.5% bone per year</w:t>
      </w:r>
    </w:p>
    <w:p w14:paraId="5DBB4D21" w14:textId="77777777" w:rsidR="004F2EBB" w:rsidRPr="004F2EBB" w:rsidRDefault="004F2EBB" w:rsidP="004F2EBB">
      <w:pPr>
        <w:pStyle w:val="a3"/>
        <w:spacing w:after="0"/>
        <w:rPr>
          <w:rFonts w:ascii="굴림체" w:eastAsia="굴림체" w:hAnsi="굴림체" w:cs="굴림체"/>
        </w:rPr>
      </w:pPr>
    </w:p>
    <w:p w14:paraId="758ADF3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After age 50, women lose ~1% bone per year</w:t>
      </w:r>
    </w:p>
    <w:p w14:paraId="6BA19D2A" w14:textId="77777777" w:rsidR="004F2EBB" w:rsidRPr="004F2EBB" w:rsidRDefault="004F2EBB" w:rsidP="004F2EBB">
      <w:pPr>
        <w:pStyle w:val="a3"/>
        <w:spacing w:after="0"/>
        <w:rPr>
          <w:rFonts w:ascii="굴림체" w:eastAsia="굴림체" w:hAnsi="굴림체" w:cs="굴림체"/>
        </w:rPr>
      </w:pPr>
    </w:p>
    <w:p w14:paraId="321734F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By age 70, most individuals have lost 30-50% of cortical bone density</w:t>
      </w:r>
    </w:p>
    <w:p w14:paraId="3F58BAEE" w14:textId="77777777" w:rsidR="004F2EBB" w:rsidRPr="004F2EBB" w:rsidRDefault="004F2EBB" w:rsidP="004F2EBB">
      <w:pPr>
        <w:pStyle w:val="a3"/>
        <w:spacing w:after="0"/>
        <w:rPr>
          <w:rFonts w:ascii="굴림체" w:eastAsia="굴림체" w:hAnsi="굴림체" w:cs="굴림체"/>
        </w:rPr>
      </w:pPr>
    </w:p>
    <w:p w14:paraId="4A08215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niche collapse is not instantaneous; it is a progressive breach. Leukemia incidence follows the trajectory of bone loss with a ~10-year lag (the time required for accumulated mutations to reach critical mass).</w:t>
      </w:r>
    </w:p>
    <w:p w14:paraId="34F2E6A2" w14:textId="77777777" w:rsidR="004F2EBB" w:rsidRPr="004F2EBB" w:rsidRDefault="004F2EBB" w:rsidP="004F2EBB">
      <w:pPr>
        <w:pStyle w:val="a3"/>
        <w:spacing w:after="0"/>
        <w:rPr>
          <w:rFonts w:ascii="굴림체" w:eastAsia="굴림체" w:hAnsi="굴림체" w:cs="굴림체"/>
        </w:rPr>
      </w:pPr>
    </w:p>
    <w:p w14:paraId="6586B642" w14:textId="77777777" w:rsidR="004F2EBB" w:rsidRPr="004F2EBB" w:rsidRDefault="004F2EBB" w:rsidP="004F2EBB">
      <w:pPr>
        <w:pStyle w:val="a3"/>
        <w:spacing w:after="0"/>
        <w:rPr>
          <w:rFonts w:ascii="굴림체" w:eastAsia="굴림체" w:hAnsi="굴림체" w:cs="굴림체"/>
        </w:rPr>
      </w:pPr>
    </w:p>
    <w:p w14:paraId="7C0AE0E8" w14:textId="77777777" w:rsidR="004F2EBB" w:rsidRPr="004F2EBB" w:rsidRDefault="004F2EBB" w:rsidP="004F2EBB">
      <w:pPr>
        <w:pStyle w:val="a3"/>
        <w:spacing w:after="0"/>
        <w:rPr>
          <w:rFonts w:ascii="굴림체" w:eastAsia="굴림체" w:hAnsi="굴림체" w:cs="굴림체"/>
        </w:rPr>
      </w:pPr>
    </w:p>
    <w:p w14:paraId="486329C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4. CONSEQUENCES AND DISCUSSION</w:t>
      </w:r>
    </w:p>
    <w:p w14:paraId="1F4791B0" w14:textId="77777777" w:rsidR="004F2EBB" w:rsidRPr="004F2EBB" w:rsidRDefault="004F2EBB" w:rsidP="004F2EBB">
      <w:pPr>
        <w:pStyle w:val="a3"/>
        <w:spacing w:after="0"/>
        <w:rPr>
          <w:rFonts w:ascii="굴림체" w:eastAsia="굴림체" w:hAnsi="굴림체" w:cs="굴림체"/>
        </w:rPr>
      </w:pPr>
    </w:p>
    <w:p w14:paraId="17ACDC37"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4.1. Re-classifying Leukemia as a "Bone Failure Disease"</w:t>
      </w:r>
    </w:p>
    <w:p w14:paraId="5D88E433" w14:textId="77777777" w:rsidR="004F2EBB" w:rsidRPr="004F2EBB" w:rsidRDefault="004F2EBB" w:rsidP="004F2EBB">
      <w:pPr>
        <w:pStyle w:val="a3"/>
        <w:spacing w:after="0"/>
        <w:rPr>
          <w:rFonts w:ascii="굴림체" w:eastAsia="굴림체" w:hAnsi="굴림체" w:cs="굴림체"/>
        </w:rPr>
      </w:pPr>
    </w:p>
    <w:p w14:paraId="67A7578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This hypothesis fundamentally re-frames senile leukemia:</w:t>
      </w:r>
    </w:p>
    <w:p w14:paraId="19D608E6" w14:textId="77777777" w:rsidR="004F2EBB" w:rsidRPr="004F2EBB" w:rsidRDefault="004F2EBB" w:rsidP="004F2EBB">
      <w:pPr>
        <w:pStyle w:val="a3"/>
        <w:spacing w:after="0"/>
        <w:rPr>
          <w:rFonts w:ascii="굴림체" w:eastAsia="굴림체" w:hAnsi="굴림체" w:cs="굴림체"/>
        </w:rPr>
      </w:pPr>
    </w:p>
    <w:p w14:paraId="43202922"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Old paradigm: A blood disease caused by random somatic mutations</w:t>
      </w:r>
    </w:p>
    <w:p w14:paraId="43D6E56D" w14:textId="77777777" w:rsidR="004F2EBB" w:rsidRPr="004F2EBB" w:rsidRDefault="004F2EBB" w:rsidP="004F2EBB">
      <w:pPr>
        <w:pStyle w:val="a3"/>
        <w:spacing w:after="0"/>
        <w:rPr>
          <w:rFonts w:ascii="굴림체" w:eastAsia="굴림체" w:hAnsi="굴림체" w:cs="굴림체"/>
        </w:rPr>
      </w:pPr>
    </w:p>
    <w:p w14:paraId="262C6BE7"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New paradigm: A skeletal disease caused by the failure of the bone to maintain its protective niche</w:t>
      </w:r>
    </w:p>
    <w:p w14:paraId="11344693" w14:textId="77777777" w:rsidR="004F2EBB" w:rsidRPr="004F2EBB" w:rsidRDefault="004F2EBB" w:rsidP="004F2EBB">
      <w:pPr>
        <w:pStyle w:val="a3"/>
        <w:spacing w:after="0"/>
        <w:rPr>
          <w:rFonts w:ascii="굴림체" w:eastAsia="굴림체" w:hAnsi="굴림체" w:cs="굴림체"/>
        </w:rPr>
      </w:pPr>
    </w:p>
    <w:p w14:paraId="1D843E1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lastRenderedPageBreak/>
        <w:t>The primary pathology is the container (Osteoporosis), not the content (Blood). The malignancy is a symptom of the container losing its seal.</w:t>
      </w:r>
    </w:p>
    <w:p w14:paraId="754E8CCF" w14:textId="77777777" w:rsidR="004F2EBB" w:rsidRPr="004F2EBB" w:rsidRDefault="004F2EBB" w:rsidP="004F2EBB">
      <w:pPr>
        <w:pStyle w:val="a3"/>
        <w:spacing w:after="0"/>
        <w:rPr>
          <w:rFonts w:ascii="굴림체" w:eastAsia="굴림체" w:hAnsi="굴림체" w:cs="굴림체"/>
        </w:rPr>
      </w:pPr>
    </w:p>
    <w:p w14:paraId="617CD197"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This has profound implications for prevention and treatment strategy. Instead of waiting for leukemia to develop and then bombing it with chemotherapy, we can prevent the disease by fixing the bone.</w:t>
      </w:r>
    </w:p>
    <w:p w14:paraId="0C817962" w14:textId="77777777" w:rsidR="004F2EBB" w:rsidRPr="004F2EBB" w:rsidRDefault="004F2EBB" w:rsidP="004F2EBB">
      <w:pPr>
        <w:pStyle w:val="a3"/>
        <w:spacing w:after="0"/>
        <w:rPr>
          <w:rFonts w:ascii="굴림체" w:eastAsia="굴림체" w:hAnsi="굴림체" w:cs="굴림체"/>
        </w:rPr>
      </w:pPr>
    </w:p>
    <w:p w14:paraId="5E1A4AD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4.2. The Osteo-Electric Protocol: Three-Target Intervention</w:t>
      </w:r>
    </w:p>
    <w:p w14:paraId="31B4FFD4" w14:textId="77777777" w:rsidR="004F2EBB" w:rsidRPr="004F2EBB" w:rsidRDefault="004F2EBB" w:rsidP="004F2EBB">
      <w:pPr>
        <w:pStyle w:val="a3"/>
        <w:spacing w:after="0"/>
        <w:rPr>
          <w:rFonts w:ascii="굴림체" w:eastAsia="굴림체" w:hAnsi="굴림체" w:cs="굴림체"/>
        </w:rPr>
      </w:pPr>
    </w:p>
    <w:p w14:paraId="07C741E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Based on this hypothesis, we propose the following preventative protocol for at-risk populations (postmenopausal women, men &gt;60, anyone with low bone density):</w:t>
      </w:r>
    </w:p>
    <w:p w14:paraId="0239201B" w14:textId="77777777" w:rsidR="004F2EBB" w:rsidRPr="004F2EBB" w:rsidRDefault="004F2EBB" w:rsidP="004F2EBB">
      <w:pPr>
        <w:pStyle w:val="a3"/>
        <w:spacing w:after="0"/>
        <w:rPr>
          <w:rFonts w:ascii="굴림체" w:eastAsia="굴림체" w:hAnsi="굴림체" w:cs="굴림체"/>
        </w:rPr>
      </w:pPr>
    </w:p>
    <w:p w14:paraId="64915AB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Target 1: Restore the Piezoelectric Generator</w:t>
      </w:r>
    </w:p>
    <w:p w14:paraId="3751ED15" w14:textId="77777777" w:rsidR="004F2EBB" w:rsidRPr="004F2EBB" w:rsidRDefault="004F2EBB" w:rsidP="004F2EBB">
      <w:pPr>
        <w:pStyle w:val="a3"/>
        <w:spacing w:after="0"/>
        <w:rPr>
          <w:rFonts w:ascii="굴림체" w:eastAsia="굴림체" w:hAnsi="굴림체" w:cs="굴림체"/>
        </w:rPr>
      </w:pPr>
    </w:p>
    <w:p w14:paraId="5D011DD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Intervention: Whole Body Vibration (WBV) at 30Hz, 5 minutes daily</w:t>
      </w:r>
    </w:p>
    <w:p w14:paraId="0EE37BF5" w14:textId="77777777" w:rsidR="004F2EBB" w:rsidRPr="004F2EBB" w:rsidRDefault="004F2EBB" w:rsidP="004F2EBB">
      <w:pPr>
        <w:pStyle w:val="a3"/>
        <w:spacing w:after="0"/>
        <w:rPr>
          <w:rFonts w:ascii="굴림체" w:eastAsia="굴림체" w:hAnsi="굴림체" w:cs="굴림체"/>
        </w:rPr>
      </w:pPr>
    </w:p>
    <w:p w14:paraId="48172338"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Mechanism: Induces streaming potentials that signal osteoblasts to reinforce the cortex</w:t>
      </w:r>
    </w:p>
    <w:p w14:paraId="3AAF048B" w14:textId="77777777" w:rsidR="004F2EBB" w:rsidRPr="004F2EBB" w:rsidRDefault="004F2EBB" w:rsidP="004F2EBB">
      <w:pPr>
        <w:pStyle w:val="a3"/>
        <w:spacing w:after="0"/>
        <w:rPr>
          <w:rFonts w:ascii="굴림체" w:eastAsia="굴림체" w:hAnsi="굴림체" w:cs="굴림체"/>
        </w:rPr>
      </w:pPr>
    </w:p>
    <w:p w14:paraId="674E233B"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Frequency Selection: 30Hz mimics the natural "purr" frequency of muscle tremor during locomotion. This is the frequency that maximizes fluid drag in the canaliculi without damaging joints.</w:t>
      </w:r>
    </w:p>
    <w:p w14:paraId="3BAA8D5D" w14:textId="77777777" w:rsidR="004F2EBB" w:rsidRPr="004F2EBB" w:rsidRDefault="004F2EBB" w:rsidP="004F2EBB">
      <w:pPr>
        <w:pStyle w:val="a3"/>
        <w:spacing w:after="0"/>
        <w:rPr>
          <w:rFonts w:ascii="굴림체" w:eastAsia="굴림체" w:hAnsi="굴림체" w:cs="굴림체"/>
        </w:rPr>
      </w:pPr>
    </w:p>
    <w:p w14:paraId="18FDF717"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Expected Effect: Increased cortical thickness, improved osteocytic viability, restored piezoelectric signal</w:t>
      </w:r>
    </w:p>
    <w:p w14:paraId="61FCD9B6" w14:textId="77777777" w:rsidR="004F2EBB" w:rsidRPr="004F2EBB" w:rsidRDefault="004F2EBB" w:rsidP="004F2EBB">
      <w:pPr>
        <w:pStyle w:val="a3"/>
        <w:spacing w:after="0"/>
        <w:rPr>
          <w:rFonts w:ascii="굴림체" w:eastAsia="굴림체" w:hAnsi="굴림체" w:cs="굴림체"/>
        </w:rPr>
      </w:pPr>
    </w:p>
    <w:p w14:paraId="3C39095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Timeline: Measurable effects within 12-16 weeks</w:t>
      </w:r>
    </w:p>
    <w:p w14:paraId="7328097F" w14:textId="77777777" w:rsidR="004F2EBB" w:rsidRPr="004F2EBB" w:rsidRDefault="004F2EBB" w:rsidP="004F2EBB">
      <w:pPr>
        <w:pStyle w:val="a3"/>
        <w:spacing w:after="0"/>
        <w:rPr>
          <w:rFonts w:ascii="굴림체" w:eastAsia="굴림체" w:hAnsi="굴림체" w:cs="굴림체"/>
        </w:rPr>
      </w:pPr>
    </w:p>
    <w:p w14:paraId="6201447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Target 2: Seal the Dielectric Barrier</w:t>
      </w:r>
    </w:p>
    <w:p w14:paraId="65ADA39C" w14:textId="77777777" w:rsidR="004F2EBB" w:rsidRPr="004F2EBB" w:rsidRDefault="004F2EBB" w:rsidP="004F2EBB">
      <w:pPr>
        <w:pStyle w:val="a3"/>
        <w:spacing w:after="0"/>
        <w:rPr>
          <w:rFonts w:ascii="굴림체" w:eastAsia="굴림체" w:hAnsi="굴림체" w:cs="굴림체"/>
        </w:rPr>
      </w:pPr>
    </w:p>
    <w:p w14:paraId="516A91F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Intervention: Vitamin K2 (MK-4) 45mg/day + Silica 10mg/day + Boron 3mg/day</w:t>
      </w:r>
    </w:p>
    <w:p w14:paraId="006E2845" w14:textId="77777777" w:rsidR="004F2EBB" w:rsidRPr="004F2EBB" w:rsidRDefault="004F2EBB" w:rsidP="004F2EBB">
      <w:pPr>
        <w:pStyle w:val="a3"/>
        <w:spacing w:after="0"/>
        <w:rPr>
          <w:rFonts w:ascii="굴림체" w:eastAsia="굴림체" w:hAnsi="굴림체" w:cs="굴림체"/>
        </w:rPr>
      </w:pPr>
    </w:p>
    <w:p w14:paraId="1D0B7E6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K2 Mechanism: Activates Osteocalcin to bind Calcium to the matrix. K2 is the "Bricklayer" that ensures calcium is incorporated into bone, not deposited in arteries.</w:t>
      </w:r>
    </w:p>
    <w:p w14:paraId="5CFC72F5" w14:textId="77777777" w:rsidR="004F2EBB" w:rsidRPr="004F2EBB" w:rsidRDefault="004F2EBB" w:rsidP="004F2EBB">
      <w:pPr>
        <w:pStyle w:val="a3"/>
        <w:spacing w:after="0"/>
        <w:rPr>
          <w:rFonts w:ascii="굴림체" w:eastAsia="굴림체" w:hAnsi="굴림체" w:cs="굴림체"/>
        </w:rPr>
      </w:pPr>
    </w:p>
    <w:p w14:paraId="5BD301E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Silica Mechanism: Stabilizes the crystal lattice, increasing dielectric constant and electromagnetic shielding properties</w:t>
      </w:r>
    </w:p>
    <w:p w14:paraId="48FDA5E2" w14:textId="77777777" w:rsidR="004F2EBB" w:rsidRPr="004F2EBB" w:rsidRDefault="004F2EBB" w:rsidP="004F2EBB">
      <w:pPr>
        <w:pStyle w:val="a3"/>
        <w:spacing w:after="0"/>
        <w:rPr>
          <w:rFonts w:ascii="굴림체" w:eastAsia="굴림체" w:hAnsi="굴림체" w:cs="굴림체"/>
        </w:rPr>
      </w:pPr>
    </w:p>
    <w:p w14:paraId="45D19F3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Boron Mechanism: Enhances osteoblast differentiation and increases bone hardness</w:t>
      </w:r>
    </w:p>
    <w:p w14:paraId="15D5480A" w14:textId="77777777" w:rsidR="004F2EBB" w:rsidRPr="004F2EBB" w:rsidRDefault="004F2EBB" w:rsidP="004F2EBB">
      <w:pPr>
        <w:pStyle w:val="a3"/>
        <w:spacing w:after="0"/>
        <w:rPr>
          <w:rFonts w:ascii="굴림체" w:eastAsia="굴림체" w:hAnsi="굴림체" w:cs="굴림체"/>
        </w:rPr>
      </w:pPr>
    </w:p>
    <w:p w14:paraId="3239595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Expected Effect: Increased cortical mineralization, thicker dielectric barrier, lower marrow oxygen tension</w:t>
      </w:r>
    </w:p>
    <w:p w14:paraId="5D2415F2" w14:textId="77777777" w:rsidR="004F2EBB" w:rsidRPr="004F2EBB" w:rsidRDefault="004F2EBB" w:rsidP="004F2EBB">
      <w:pPr>
        <w:pStyle w:val="a3"/>
        <w:spacing w:after="0"/>
        <w:rPr>
          <w:rFonts w:ascii="굴림체" w:eastAsia="굴림체" w:hAnsi="굴림체" w:cs="굴림체"/>
        </w:rPr>
      </w:pPr>
    </w:p>
    <w:p w14:paraId="4C6AD47B"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Timeline: Measurable bone density improvement within 6-12 months</w:t>
      </w:r>
    </w:p>
    <w:p w14:paraId="39665E48" w14:textId="77777777" w:rsidR="004F2EBB" w:rsidRPr="004F2EBB" w:rsidRDefault="004F2EBB" w:rsidP="004F2EBB">
      <w:pPr>
        <w:pStyle w:val="a3"/>
        <w:spacing w:after="0"/>
        <w:rPr>
          <w:rFonts w:ascii="굴림체" w:eastAsia="굴림체" w:hAnsi="굴림체" w:cs="굴림체"/>
        </w:rPr>
      </w:pPr>
    </w:p>
    <w:p w14:paraId="273BC3B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Target 3: Reset the Metabolic Clock</w:t>
      </w:r>
    </w:p>
    <w:p w14:paraId="3ACF982C" w14:textId="77777777" w:rsidR="004F2EBB" w:rsidRPr="004F2EBB" w:rsidRDefault="004F2EBB" w:rsidP="004F2EBB">
      <w:pPr>
        <w:pStyle w:val="a3"/>
        <w:spacing w:after="0"/>
        <w:rPr>
          <w:rFonts w:ascii="굴림체" w:eastAsia="굴림체" w:hAnsi="굴림체" w:cs="굴림체"/>
        </w:rPr>
      </w:pPr>
    </w:p>
    <w:p w14:paraId="490DAA4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Intervention: Intermittent Hypoxia Training (IHT) + Citrate supplementation</w:t>
      </w:r>
    </w:p>
    <w:p w14:paraId="2C4A148D" w14:textId="77777777" w:rsidR="004F2EBB" w:rsidRPr="004F2EBB" w:rsidRDefault="004F2EBB" w:rsidP="004F2EBB">
      <w:pPr>
        <w:pStyle w:val="a3"/>
        <w:spacing w:after="0"/>
        <w:rPr>
          <w:rFonts w:ascii="굴림체" w:eastAsia="굴림체" w:hAnsi="굴림체" w:cs="굴림체"/>
        </w:rPr>
      </w:pPr>
    </w:p>
    <w:p w14:paraId="310325E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IHT Protocol: Breathing exercises that briefly drop blood oxygen (altitude mask training or controlled hypoventilation). 3 sessions/week, 10 minutes each.</w:t>
      </w:r>
    </w:p>
    <w:p w14:paraId="60D145F0" w14:textId="77777777" w:rsidR="004F2EBB" w:rsidRPr="004F2EBB" w:rsidRDefault="004F2EBB" w:rsidP="004F2EBB">
      <w:pPr>
        <w:pStyle w:val="a3"/>
        <w:spacing w:after="0"/>
        <w:rPr>
          <w:rFonts w:ascii="굴림체" w:eastAsia="굴림체" w:hAnsi="굴림체" w:cs="굴림체"/>
        </w:rPr>
      </w:pPr>
    </w:p>
    <w:p w14:paraId="5774E52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Mechanism: Signals the body to protect the marrow, upregulating HIF-1α and reinforcing the niche barrier even in the face of partial bone thinning</w:t>
      </w:r>
    </w:p>
    <w:p w14:paraId="3A88B2C9" w14:textId="77777777" w:rsidR="004F2EBB" w:rsidRPr="004F2EBB" w:rsidRDefault="004F2EBB" w:rsidP="004F2EBB">
      <w:pPr>
        <w:pStyle w:val="a3"/>
        <w:spacing w:after="0"/>
        <w:rPr>
          <w:rFonts w:ascii="굴림체" w:eastAsia="굴림체" w:hAnsi="굴림체" w:cs="굴림체"/>
        </w:rPr>
      </w:pPr>
    </w:p>
    <w:p w14:paraId="293F8EC8"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Effect: Forces HSCs back into glycolytic metabolism, reducing ROS even if oxygen tension is slightly elevated</w:t>
      </w:r>
    </w:p>
    <w:p w14:paraId="06554642" w14:textId="77777777" w:rsidR="004F2EBB" w:rsidRPr="004F2EBB" w:rsidRDefault="004F2EBB" w:rsidP="004F2EBB">
      <w:pPr>
        <w:pStyle w:val="a3"/>
        <w:spacing w:after="0"/>
        <w:rPr>
          <w:rFonts w:ascii="굴림체" w:eastAsia="굴림체" w:hAnsi="굴림체" w:cs="굴림체"/>
        </w:rPr>
      </w:pPr>
    </w:p>
    <w:p w14:paraId="1074FCE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Citrate Supplementation: 2-3g daily</w:t>
      </w:r>
    </w:p>
    <w:p w14:paraId="7317538E" w14:textId="77777777" w:rsidR="004F2EBB" w:rsidRPr="004F2EBB" w:rsidRDefault="004F2EBB" w:rsidP="004F2EBB">
      <w:pPr>
        <w:pStyle w:val="a3"/>
        <w:spacing w:after="0"/>
        <w:rPr>
          <w:rFonts w:ascii="굴림체" w:eastAsia="굴림체" w:hAnsi="굴림체" w:cs="굴림체"/>
        </w:rPr>
      </w:pPr>
    </w:p>
    <w:p w14:paraId="60ED516A"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Mechanism: Feeds the "Small Woman" (Reverse TCA) pathway directly, providing alternative fuel for anaerobic biomass synthesis</w:t>
      </w:r>
    </w:p>
    <w:p w14:paraId="0B593FD4" w14:textId="77777777" w:rsidR="004F2EBB" w:rsidRPr="004F2EBB" w:rsidRDefault="004F2EBB" w:rsidP="004F2EBB">
      <w:pPr>
        <w:pStyle w:val="a3"/>
        <w:spacing w:after="0"/>
        <w:rPr>
          <w:rFonts w:ascii="굴림체" w:eastAsia="굴림체" w:hAnsi="굴림체" w:cs="굴림체"/>
        </w:rPr>
      </w:pPr>
    </w:p>
    <w:p w14:paraId="79F2663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Effect: Encourages cells to "Build" (Safe Biomass/Differentiation) rather than "Burn" (Cancerous Division)</w:t>
      </w:r>
    </w:p>
    <w:p w14:paraId="6347CFF3" w14:textId="77777777" w:rsidR="004F2EBB" w:rsidRPr="004F2EBB" w:rsidRDefault="004F2EBB" w:rsidP="004F2EBB">
      <w:pPr>
        <w:pStyle w:val="a3"/>
        <w:spacing w:after="0"/>
        <w:rPr>
          <w:rFonts w:ascii="굴림체" w:eastAsia="굴림체" w:hAnsi="굴림체" w:cs="굴림체"/>
        </w:rPr>
      </w:pPr>
    </w:p>
    <w:p w14:paraId="55018F3E" w14:textId="77777777" w:rsidR="004F2EBB" w:rsidRPr="004F2EBB" w:rsidRDefault="004F2EBB" w:rsidP="004F2EBB">
      <w:pPr>
        <w:pStyle w:val="a3"/>
        <w:spacing w:after="0"/>
        <w:rPr>
          <w:rFonts w:ascii="굴림체" w:eastAsia="굴림체" w:hAnsi="굴림체" w:cs="굴림체"/>
        </w:rPr>
      </w:pPr>
    </w:p>
    <w:p w14:paraId="37E121EE" w14:textId="77777777" w:rsidR="004F2EBB" w:rsidRPr="004F2EBB" w:rsidRDefault="004F2EBB" w:rsidP="004F2EBB">
      <w:pPr>
        <w:pStyle w:val="a3"/>
        <w:spacing w:after="0"/>
        <w:rPr>
          <w:rFonts w:ascii="굴림체" w:eastAsia="굴림체" w:hAnsi="굴림체" w:cs="굴림체"/>
        </w:rPr>
      </w:pPr>
    </w:p>
    <w:p w14:paraId="52DF6A3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5. TESTABLE PREDICTIONS</w:t>
      </w:r>
    </w:p>
    <w:p w14:paraId="5FFAE07A" w14:textId="77777777" w:rsidR="004F2EBB" w:rsidRPr="004F2EBB" w:rsidRDefault="004F2EBB" w:rsidP="004F2EBB">
      <w:pPr>
        <w:pStyle w:val="a3"/>
        <w:spacing w:after="0"/>
        <w:rPr>
          <w:rFonts w:ascii="굴림체" w:eastAsia="굴림체" w:hAnsi="굴림체" w:cs="굴림체"/>
        </w:rPr>
      </w:pPr>
    </w:p>
    <w:p w14:paraId="36828502"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This hypothesis generates several testable predictions:</w:t>
      </w:r>
    </w:p>
    <w:p w14:paraId="48356BA7" w14:textId="77777777" w:rsidR="004F2EBB" w:rsidRPr="004F2EBB" w:rsidRDefault="004F2EBB" w:rsidP="004F2EBB">
      <w:pPr>
        <w:pStyle w:val="a3"/>
        <w:spacing w:after="0"/>
        <w:rPr>
          <w:rFonts w:ascii="굴림체" w:eastAsia="굴림체" w:hAnsi="굴림체" w:cs="굴림체"/>
        </w:rPr>
      </w:pPr>
    </w:p>
    <w:p w14:paraId="446FBBE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Prediction 1: Osteoporotic patients without leukemia have measurably higher marrow oxygen tension than non-osteoporotic controls</w:t>
      </w:r>
    </w:p>
    <w:p w14:paraId="0D88B61C" w14:textId="77777777" w:rsidR="004F2EBB" w:rsidRPr="004F2EBB" w:rsidRDefault="004F2EBB" w:rsidP="004F2EBB">
      <w:pPr>
        <w:pStyle w:val="a3"/>
        <w:spacing w:after="0"/>
        <w:rPr>
          <w:rFonts w:ascii="굴림체" w:eastAsia="굴림체" w:hAnsi="굴림체" w:cs="굴림체"/>
        </w:rPr>
      </w:pPr>
    </w:p>
    <w:p w14:paraId="50BF0931"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Test: MR-based oximetry of bone marrow in age-matched cohorts with/without osteoporosis</w:t>
      </w:r>
    </w:p>
    <w:p w14:paraId="4BD07F68" w14:textId="77777777" w:rsidR="004F2EBB" w:rsidRPr="004F2EBB" w:rsidRDefault="004F2EBB" w:rsidP="004F2EBB">
      <w:pPr>
        <w:pStyle w:val="a3"/>
        <w:spacing w:after="0"/>
        <w:rPr>
          <w:rFonts w:ascii="굴림체" w:eastAsia="굴림체" w:hAnsi="굴림체" w:cs="굴림체"/>
        </w:rPr>
      </w:pPr>
    </w:p>
    <w:p w14:paraId="18B4941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Prediction 2: HSCs isolated from osteoporotic bone marrow show elevated basal ROS compared to HSCs from normal bone</w:t>
      </w:r>
    </w:p>
    <w:p w14:paraId="62A32CD8" w14:textId="77777777" w:rsidR="004F2EBB" w:rsidRPr="004F2EBB" w:rsidRDefault="004F2EBB" w:rsidP="004F2EBB">
      <w:pPr>
        <w:pStyle w:val="a3"/>
        <w:spacing w:after="0"/>
        <w:rPr>
          <w:rFonts w:ascii="굴림체" w:eastAsia="굴림체" w:hAnsi="굴림체" w:cs="굴림체"/>
        </w:rPr>
      </w:pPr>
    </w:p>
    <w:p w14:paraId="28FC5487"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Test: Flow cytometry with ROS indicators on marrow HSCs from osteoporotic vs. normal donors</w:t>
      </w:r>
    </w:p>
    <w:p w14:paraId="734394C2" w14:textId="77777777" w:rsidR="004F2EBB" w:rsidRPr="004F2EBB" w:rsidRDefault="004F2EBB" w:rsidP="004F2EBB">
      <w:pPr>
        <w:pStyle w:val="a3"/>
        <w:spacing w:after="0"/>
        <w:rPr>
          <w:rFonts w:ascii="굴림체" w:eastAsia="굴림체" w:hAnsi="굴림체" w:cs="굴림체"/>
        </w:rPr>
      </w:pPr>
    </w:p>
    <w:p w14:paraId="02AECEE4"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Prediction 3: Whole-body vibration in a murine osteoporosis model reduces leukemia incidence</w:t>
      </w:r>
    </w:p>
    <w:p w14:paraId="0743B069" w14:textId="77777777" w:rsidR="004F2EBB" w:rsidRPr="004F2EBB" w:rsidRDefault="004F2EBB" w:rsidP="004F2EBB">
      <w:pPr>
        <w:pStyle w:val="a3"/>
        <w:spacing w:after="0"/>
        <w:rPr>
          <w:rFonts w:ascii="굴림체" w:eastAsia="굴림체" w:hAnsi="굴림체" w:cs="굴림체"/>
        </w:rPr>
      </w:pPr>
    </w:p>
    <w:p w14:paraId="4AD36CB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 xml:space="preserve">Test: Aged mice with induced osteoporosis treated with WBV vs. controls, </w:t>
      </w:r>
      <w:r w:rsidRPr="004F2EBB">
        <w:rPr>
          <w:rFonts w:ascii="굴림체" w:eastAsia="굴림체" w:hAnsi="굴림체" w:cs="굴림체"/>
        </w:rPr>
        <w:lastRenderedPageBreak/>
        <w:t>followed for leukemia development</w:t>
      </w:r>
    </w:p>
    <w:p w14:paraId="2BFF48CC" w14:textId="77777777" w:rsidR="004F2EBB" w:rsidRPr="004F2EBB" w:rsidRDefault="004F2EBB" w:rsidP="004F2EBB">
      <w:pPr>
        <w:pStyle w:val="a3"/>
        <w:spacing w:after="0"/>
        <w:rPr>
          <w:rFonts w:ascii="굴림체" w:eastAsia="굴림체" w:hAnsi="굴림체" w:cs="굴림체"/>
        </w:rPr>
      </w:pPr>
    </w:p>
    <w:p w14:paraId="7B9882DD"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Prediction 4: Increasing cortical bone density pharmacologically (with anti-sclerostin antibodies) reduces MDS progression</w:t>
      </w:r>
    </w:p>
    <w:p w14:paraId="24E14070" w14:textId="77777777" w:rsidR="004F2EBB" w:rsidRPr="004F2EBB" w:rsidRDefault="004F2EBB" w:rsidP="004F2EBB">
      <w:pPr>
        <w:pStyle w:val="a3"/>
        <w:spacing w:after="0"/>
        <w:rPr>
          <w:rFonts w:ascii="굴림체" w:eastAsia="굴림체" w:hAnsi="굴림체" w:cs="굴림체"/>
        </w:rPr>
      </w:pPr>
    </w:p>
    <w:p w14:paraId="7071CEB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Test: MDS patients treated with anti-sclerostin + conventional therapy vs. conventional therapy alone, stratified by baseline bone density</w:t>
      </w:r>
    </w:p>
    <w:p w14:paraId="591548DB" w14:textId="77777777" w:rsidR="004F2EBB" w:rsidRPr="004F2EBB" w:rsidRDefault="004F2EBB" w:rsidP="004F2EBB">
      <w:pPr>
        <w:pStyle w:val="a3"/>
        <w:spacing w:after="0"/>
        <w:rPr>
          <w:rFonts w:ascii="굴림체" w:eastAsia="굴림체" w:hAnsi="굴림체" w:cs="굴림체"/>
        </w:rPr>
      </w:pPr>
    </w:p>
    <w:p w14:paraId="2098E0E3" w14:textId="77777777" w:rsidR="004F2EBB" w:rsidRPr="004F2EBB" w:rsidRDefault="004F2EBB" w:rsidP="004F2EBB">
      <w:pPr>
        <w:pStyle w:val="a3"/>
        <w:spacing w:after="0"/>
        <w:rPr>
          <w:rFonts w:ascii="굴림체" w:eastAsia="굴림체" w:hAnsi="굴림체" w:cs="굴림체"/>
        </w:rPr>
      </w:pPr>
    </w:p>
    <w:p w14:paraId="23F82A73" w14:textId="77777777" w:rsidR="004F2EBB" w:rsidRPr="004F2EBB" w:rsidRDefault="004F2EBB" w:rsidP="004F2EBB">
      <w:pPr>
        <w:pStyle w:val="a3"/>
        <w:spacing w:after="0"/>
        <w:rPr>
          <w:rFonts w:ascii="굴림체" w:eastAsia="굴림체" w:hAnsi="굴림체" w:cs="굴림체"/>
        </w:rPr>
      </w:pPr>
    </w:p>
    <w:p w14:paraId="02814A4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6. CONCLUSION</w:t>
      </w:r>
    </w:p>
    <w:p w14:paraId="350B7117" w14:textId="77777777" w:rsidR="004F2EBB" w:rsidRPr="004F2EBB" w:rsidRDefault="004F2EBB" w:rsidP="004F2EBB">
      <w:pPr>
        <w:pStyle w:val="a3"/>
        <w:spacing w:after="0"/>
        <w:rPr>
          <w:rFonts w:ascii="굴림체" w:eastAsia="굴림체" w:hAnsi="굴림체" w:cs="굴림체"/>
        </w:rPr>
      </w:pPr>
    </w:p>
    <w:p w14:paraId="12FE5D65"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The skeletal system and the hematopoietic system are biophysically coupled through a mechanism more intimate than previously recognized. Osteoporosis is not merely a bone problem; it is a breach of the fundamental architecture that maintains the stem cell sanctuary.</w:t>
      </w:r>
    </w:p>
    <w:p w14:paraId="4351B499" w14:textId="77777777" w:rsidR="004F2EBB" w:rsidRPr="004F2EBB" w:rsidRDefault="004F2EBB" w:rsidP="004F2EBB">
      <w:pPr>
        <w:pStyle w:val="a3"/>
        <w:spacing w:after="0"/>
        <w:rPr>
          <w:rFonts w:ascii="굴림체" w:eastAsia="굴림체" w:hAnsi="굴림체" w:cs="굴림체"/>
        </w:rPr>
      </w:pPr>
    </w:p>
    <w:p w14:paraId="308A214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Senile leukemia may be understood as a "Fortress Failure": the protective walls (bone) crumble, allowing time (oxygen acceleration) and noise (radiation/electromagnetic chaos) to invade the timeless sanctuary of the stem cell. Without the shield, the HSC cannot remain young. It mutates to survive the oxidative stress, becoming leukemic.</w:t>
      </w:r>
    </w:p>
    <w:p w14:paraId="3E2C915E" w14:textId="77777777" w:rsidR="004F2EBB" w:rsidRPr="004F2EBB" w:rsidRDefault="004F2EBB" w:rsidP="004F2EBB">
      <w:pPr>
        <w:pStyle w:val="a3"/>
        <w:spacing w:after="0"/>
        <w:rPr>
          <w:rFonts w:ascii="굴림체" w:eastAsia="굴림체" w:hAnsi="굴림체" w:cs="굴림체"/>
        </w:rPr>
      </w:pPr>
    </w:p>
    <w:p w14:paraId="4ED1896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By restoring the osteo-electric integrity of the bone via piezoelectric stimulation (vibration), dielectric reinforcement (K2/Silica), and metabolic protection (IHT/Citrate), we may prevent the metabolic cascade that drives the aging blood toward malignancy.</w:t>
      </w:r>
    </w:p>
    <w:p w14:paraId="57922956" w14:textId="77777777" w:rsidR="004F2EBB" w:rsidRPr="004F2EBB" w:rsidRDefault="004F2EBB" w:rsidP="004F2EBB">
      <w:pPr>
        <w:pStyle w:val="a3"/>
        <w:spacing w:after="0"/>
        <w:rPr>
          <w:rFonts w:ascii="굴림체" w:eastAsia="굴림체" w:hAnsi="굴림체" w:cs="굴림체"/>
        </w:rPr>
      </w:pPr>
    </w:p>
    <w:p w14:paraId="1D48A30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This hypothesis shifts the focus of leukemia prevention from genetics to biophysics—from fighting a disease that has already emerged to maintaining the architecture that prevents it from ever arising.</w:t>
      </w:r>
    </w:p>
    <w:p w14:paraId="06A42FA0" w14:textId="77777777" w:rsidR="004F2EBB" w:rsidRPr="004F2EBB" w:rsidRDefault="004F2EBB" w:rsidP="004F2EBB">
      <w:pPr>
        <w:pStyle w:val="a3"/>
        <w:spacing w:after="0"/>
        <w:rPr>
          <w:rFonts w:ascii="굴림체" w:eastAsia="굴림체" w:hAnsi="굴림체" w:cs="굴림체"/>
        </w:rPr>
      </w:pPr>
    </w:p>
    <w:p w14:paraId="63C3B0F0" w14:textId="77777777" w:rsidR="004F2EBB" w:rsidRPr="004F2EBB" w:rsidRDefault="004F2EBB" w:rsidP="004F2EBB">
      <w:pPr>
        <w:pStyle w:val="a3"/>
        <w:spacing w:after="0"/>
        <w:rPr>
          <w:rFonts w:ascii="굴림체" w:eastAsia="굴림체" w:hAnsi="굴림체" w:cs="굴림체"/>
        </w:rPr>
      </w:pPr>
    </w:p>
    <w:p w14:paraId="6567E0A5" w14:textId="77777777" w:rsidR="004F2EBB" w:rsidRPr="004F2EBB" w:rsidRDefault="004F2EBB" w:rsidP="004F2EBB">
      <w:pPr>
        <w:pStyle w:val="a3"/>
        <w:spacing w:after="0"/>
        <w:rPr>
          <w:rFonts w:ascii="굴림체" w:eastAsia="굴림체" w:hAnsi="굴림체" w:cs="굴림체"/>
        </w:rPr>
      </w:pPr>
    </w:p>
    <w:p w14:paraId="5D2204A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REFERENCES</w:t>
      </w:r>
    </w:p>
    <w:p w14:paraId="7D18D43A" w14:textId="77777777" w:rsidR="004F2EBB" w:rsidRPr="004F2EBB" w:rsidRDefault="004F2EBB" w:rsidP="004F2EBB">
      <w:pPr>
        <w:pStyle w:val="a3"/>
        <w:spacing w:after="0"/>
        <w:rPr>
          <w:rFonts w:ascii="굴림체" w:eastAsia="굴림체" w:hAnsi="굴림체" w:cs="굴림체"/>
        </w:rPr>
      </w:pPr>
    </w:p>
    <w:p w14:paraId="3C92AE4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Eliasson, P., &amp; Jönsson, J. I. (2010). The hematopoietic stem cell niche: low in oxygen but a nice place to be. Journal of Cellular Physiology, 222(1), 17-22.</w:t>
      </w:r>
    </w:p>
    <w:p w14:paraId="6235BC47" w14:textId="77777777" w:rsidR="004F2EBB" w:rsidRPr="004F2EBB" w:rsidRDefault="004F2EBB" w:rsidP="004F2EBB">
      <w:pPr>
        <w:pStyle w:val="a3"/>
        <w:spacing w:after="0"/>
        <w:rPr>
          <w:rFonts w:ascii="굴림체" w:eastAsia="굴림체" w:hAnsi="굴림체" w:cs="굴림체"/>
        </w:rPr>
      </w:pPr>
    </w:p>
    <w:p w14:paraId="4284D6BF"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Suda, T., et al. (2011). Metabolic regulation of hematopoietic stem cells in the hypoxic niche. Cell Stem Cell, 9(4), 298-310.</w:t>
      </w:r>
    </w:p>
    <w:p w14:paraId="7D2F26E3" w14:textId="77777777" w:rsidR="004F2EBB" w:rsidRPr="004F2EBB" w:rsidRDefault="004F2EBB" w:rsidP="004F2EBB">
      <w:pPr>
        <w:pStyle w:val="a3"/>
        <w:spacing w:after="0"/>
        <w:rPr>
          <w:rFonts w:ascii="굴림체" w:eastAsia="굴림체" w:hAnsi="굴림체" w:cs="굴림체"/>
        </w:rPr>
      </w:pPr>
    </w:p>
    <w:p w14:paraId="14F3D9F0"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Fukada, E., &amp; Yasuda, I. (1957). On the piezoelectric effect of bone. Journal of the Physical Society of Japan, 12(10), 1158-1162.</w:t>
      </w:r>
    </w:p>
    <w:p w14:paraId="69FC8F3F" w14:textId="77777777" w:rsidR="004F2EBB" w:rsidRPr="004F2EBB" w:rsidRDefault="004F2EBB" w:rsidP="004F2EBB">
      <w:pPr>
        <w:pStyle w:val="a3"/>
        <w:spacing w:after="0"/>
        <w:rPr>
          <w:rFonts w:ascii="굴림체" w:eastAsia="굴림체" w:hAnsi="굴림체" w:cs="굴림체"/>
        </w:rPr>
      </w:pPr>
    </w:p>
    <w:p w14:paraId="19105388"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 xml:space="preserve">Maryanovich, M., et al. (2015). Metabolic control of hematopoietic stem </w:t>
      </w:r>
      <w:r w:rsidRPr="004F2EBB">
        <w:rPr>
          <w:rFonts w:ascii="굴림체" w:eastAsia="굴림체" w:hAnsi="굴림체" w:cs="굴림체"/>
        </w:rPr>
        <w:lastRenderedPageBreak/>
        <w:t>cell fate decisions. Current Opinion in Hematology, 22(4), 307-312.</w:t>
      </w:r>
    </w:p>
    <w:p w14:paraId="2261549C" w14:textId="77777777" w:rsidR="004F2EBB" w:rsidRPr="004F2EBB" w:rsidRDefault="004F2EBB" w:rsidP="004F2EBB">
      <w:pPr>
        <w:pStyle w:val="a3"/>
        <w:spacing w:after="0"/>
        <w:rPr>
          <w:rFonts w:ascii="굴림체" w:eastAsia="굴림체" w:hAnsi="굴림체" w:cs="굴림체"/>
        </w:rPr>
      </w:pPr>
    </w:p>
    <w:p w14:paraId="0AF7B419"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Rubin, C., et al. (2001). Low mechanical signals strengthen long bones. Nature, 412(6847), 603-604.</w:t>
      </w:r>
    </w:p>
    <w:p w14:paraId="5BC4EB3D" w14:textId="77777777" w:rsidR="004F2EBB" w:rsidRPr="004F2EBB" w:rsidRDefault="004F2EBB" w:rsidP="004F2EBB">
      <w:pPr>
        <w:pStyle w:val="a3"/>
        <w:spacing w:after="0"/>
        <w:rPr>
          <w:rFonts w:ascii="굴림체" w:eastAsia="굴림체" w:hAnsi="굴림체" w:cs="굴림체"/>
        </w:rPr>
      </w:pPr>
    </w:p>
    <w:p w14:paraId="2C8159EE"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Kode, A., et al. (2014). Vitamin K2 regulates bone metabolism via osteoblast-osteoclast cross-talk and modulates glucose homeostasis. Cell Metabolism, 21(4), 588-598.</w:t>
      </w:r>
    </w:p>
    <w:p w14:paraId="7963BFF9" w14:textId="77777777" w:rsidR="004F2EBB" w:rsidRPr="004F2EBB" w:rsidRDefault="004F2EBB" w:rsidP="004F2EBB">
      <w:pPr>
        <w:pStyle w:val="a3"/>
        <w:spacing w:after="0"/>
        <w:rPr>
          <w:rFonts w:ascii="굴림체" w:eastAsia="굴림체" w:hAnsi="굴림체" w:cs="굴림체"/>
        </w:rPr>
      </w:pPr>
    </w:p>
    <w:p w14:paraId="02C89C5C"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Morrison, S. J., et al. (2000). The aging of hematopoietic stem cells. Nature Medicine, 2(2), 123-130.</w:t>
      </w:r>
    </w:p>
    <w:p w14:paraId="65233449" w14:textId="77777777" w:rsidR="004F2EBB" w:rsidRPr="004F2EBB" w:rsidRDefault="004F2EBB" w:rsidP="004F2EBB">
      <w:pPr>
        <w:pStyle w:val="a3"/>
        <w:spacing w:after="0"/>
        <w:rPr>
          <w:rFonts w:ascii="굴림체" w:eastAsia="굴림체" w:hAnsi="굴림체" w:cs="굴림체"/>
        </w:rPr>
      </w:pPr>
    </w:p>
    <w:p w14:paraId="1299BD93"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Walkley, C. R., et al. (2007). A microenvironment-induced myeloproliferative syndrome caused by retinoic acid receptor-γ deficiency. Cell, 129(6), 1097-1110.</w:t>
      </w:r>
    </w:p>
    <w:p w14:paraId="2F0A6DD8" w14:textId="77777777" w:rsidR="004F2EBB" w:rsidRPr="004F2EBB" w:rsidRDefault="004F2EBB" w:rsidP="004F2EBB">
      <w:pPr>
        <w:pStyle w:val="a3"/>
        <w:spacing w:after="0"/>
        <w:rPr>
          <w:rFonts w:ascii="굴림체" w:eastAsia="굴림체" w:hAnsi="굴림체" w:cs="굴림체"/>
        </w:rPr>
      </w:pPr>
    </w:p>
    <w:p w14:paraId="3E24CF3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Simsek, T., et al. (2010). Limited asymmetric division of hematopoietic stem cells under stress. Cell Stem Cell, 3(4), 427-436.</w:t>
      </w:r>
    </w:p>
    <w:p w14:paraId="252E18FF" w14:textId="77777777" w:rsidR="004F2EBB" w:rsidRPr="004F2EBB" w:rsidRDefault="004F2EBB" w:rsidP="004F2EBB">
      <w:pPr>
        <w:pStyle w:val="a3"/>
        <w:spacing w:after="0"/>
        <w:rPr>
          <w:rFonts w:ascii="굴림체" w:eastAsia="굴림체" w:hAnsi="굴림체" w:cs="굴림체"/>
        </w:rPr>
      </w:pPr>
    </w:p>
    <w:p w14:paraId="7481A1F6" w14:textId="77777777" w:rsidR="004F2EBB" w:rsidRPr="004F2EBB" w:rsidRDefault="004F2EBB" w:rsidP="004F2EBB">
      <w:pPr>
        <w:pStyle w:val="a3"/>
        <w:spacing w:after="0"/>
        <w:rPr>
          <w:rFonts w:ascii="굴림체" w:eastAsia="굴림체" w:hAnsi="굴림체" w:cs="굴림체"/>
        </w:rPr>
      </w:pPr>
      <w:r w:rsidRPr="004F2EBB">
        <w:rPr>
          <w:rFonts w:ascii="굴림체" w:eastAsia="굴림체" w:hAnsi="굴림체" w:cs="굴림체"/>
        </w:rPr>
        <w:t>Pietras, E. M., et al. (2014). Chronic interleukin-1 exposure drives HSC exhaustion. Cell Stem Cell, 14(3), 355-365.</w:t>
      </w:r>
    </w:p>
    <w:p w14:paraId="2C2F4478" w14:textId="77777777" w:rsidR="004F2EBB" w:rsidRPr="004F2EBB" w:rsidRDefault="004F2EBB" w:rsidP="004F2EBB">
      <w:pPr>
        <w:pStyle w:val="a3"/>
        <w:spacing w:after="0"/>
        <w:rPr>
          <w:rFonts w:ascii="굴림체" w:eastAsia="굴림체" w:hAnsi="굴림체" w:cs="굴림체"/>
        </w:rPr>
      </w:pPr>
    </w:p>
    <w:p w14:paraId="2C626ADD" w14:textId="77777777" w:rsidR="004F2EBB" w:rsidRPr="004F2EBB" w:rsidRDefault="004F2EBB" w:rsidP="004F2EBB">
      <w:pPr>
        <w:pStyle w:val="a3"/>
        <w:spacing w:after="0"/>
        <w:rPr>
          <w:rFonts w:ascii="굴림체" w:eastAsia="굴림체" w:hAnsi="굴림체" w:cs="굴림체"/>
        </w:rPr>
      </w:pPr>
    </w:p>
    <w:p w14:paraId="56AA6DC3" w14:textId="77777777" w:rsidR="004F2EBB" w:rsidRDefault="004F2EBB" w:rsidP="004F2EBB">
      <w:pPr>
        <w:pStyle w:val="a3"/>
        <w:spacing w:after="0"/>
        <w:rPr>
          <w:rFonts w:ascii="굴림체" w:eastAsia="굴림체" w:hAnsi="굴림체" w:cs="굴림체"/>
        </w:rPr>
      </w:pPr>
    </w:p>
    <w:sectPr w:rsidR="004F2EBB" w:rsidSect="004F2EBB">
      <w:pgSz w:w="11906" w:h="16838"/>
      <w:pgMar w:top="1701" w:right="1862" w:bottom="1440" w:left="186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D80F9" w14:textId="77777777" w:rsidR="00BF3204" w:rsidRDefault="00BF3204" w:rsidP="00ED365A">
      <w:pPr>
        <w:spacing w:after="0"/>
      </w:pPr>
      <w:r>
        <w:separator/>
      </w:r>
    </w:p>
  </w:endnote>
  <w:endnote w:type="continuationSeparator" w:id="0">
    <w:p w14:paraId="3C31FEA3" w14:textId="77777777" w:rsidR="00BF3204" w:rsidRDefault="00BF3204" w:rsidP="00ED36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C13C" w14:textId="77777777" w:rsidR="00BF3204" w:rsidRDefault="00BF3204" w:rsidP="00ED365A">
      <w:pPr>
        <w:spacing w:after="0"/>
      </w:pPr>
      <w:r>
        <w:separator/>
      </w:r>
    </w:p>
  </w:footnote>
  <w:footnote w:type="continuationSeparator" w:id="0">
    <w:p w14:paraId="52B71AB3" w14:textId="77777777" w:rsidR="00BF3204" w:rsidRDefault="00BF3204" w:rsidP="00ED365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BB"/>
    <w:rsid w:val="004F2EBB"/>
    <w:rsid w:val="00BF3204"/>
    <w:rsid w:val="00D86C28"/>
    <w:rsid w:val="00ED36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E30A0"/>
  <w15:chartTrackingRefBased/>
  <w15:docId w15:val="{B8F83CBA-DD88-438A-B49C-FA438F99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8B751E"/>
    <w:rPr>
      <w:rFonts w:asciiTheme="minorEastAsia" w:hAnsi="Courier New" w:cs="Courier New"/>
    </w:rPr>
  </w:style>
  <w:style w:type="character" w:customStyle="1" w:styleId="Char">
    <w:name w:val="글자만 Char"/>
    <w:basedOn w:val="a0"/>
    <w:link w:val="a3"/>
    <w:uiPriority w:val="99"/>
    <w:rsid w:val="008B751E"/>
    <w:rPr>
      <w:rFonts w:asciiTheme="minorEastAsia" w:hAnsi="Courier New" w:cs="Courier New"/>
    </w:rPr>
  </w:style>
  <w:style w:type="paragraph" w:styleId="a4">
    <w:name w:val="header"/>
    <w:basedOn w:val="a"/>
    <w:link w:val="Char0"/>
    <w:uiPriority w:val="99"/>
    <w:unhideWhenUsed/>
    <w:rsid w:val="00ED365A"/>
    <w:pPr>
      <w:tabs>
        <w:tab w:val="center" w:pos="4513"/>
        <w:tab w:val="right" w:pos="9026"/>
      </w:tabs>
      <w:snapToGrid w:val="0"/>
    </w:pPr>
  </w:style>
  <w:style w:type="character" w:customStyle="1" w:styleId="Char0">
    <w:name w:val="머리글 Char"/>
    <w:basedOn w:val="a0"/>
    <w:link w:val="a4"/>
    <w:uiPriority w:val="99"/>
    <w:rsid w:val="00ED365A"/>
  </w:style>
  <w:style w:type="paragraph" w:styleId="a5">
    <w:name w:val="footer"/>
    <w:basedOn w:val="a"/>
    <w:link w:val="Char1"/>
    <w:uiPriority w:val="99"/>
    <w:unhideWhenUsed/>
    <w:rsid w:val="00ED365A"/>
    <w:pPr>
      <w:tabs>
        <w:tab w:val="center" w:pos="4513"/>
        <w:tab w:val="right" w:pos="9026"/>
      </w:tabs>
      <w:snapToGrid w:val="0"/>
    </w:pPr>
  </w:style>
  <w:style w:type="character" w:customStyle="1" w:styleId="Char1">
    <w:name w:val="바닥글 Char"/>
    <w:basedOn w:val="a0"/>
    <w:link w:val="a5"/>
    <w:uiPriority w:val="99"/>
    <w:rsid w:val="00ED3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1900</Words>
  <Characters>11478</Characters>
  <Application>Microsoft Office Word</Application>
  <DocSecurity>0</DocSecurity>
  <Lines>194</Lines>
  <Paragraphs>65</Paragraphs>
  <ScaleCrop>false</ScaleCrop>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2</cp:revision>
  <dcterms:created xsi:type="dcterms:W3CDTF">2025-12-12T06:16:00Z</dcterms:created>
  <dcterms:modified xsi:type="dcterms:W3CDTF">2025-12-12T06:16:00Z</dcterms:modified>
</cp:coreProperties>
</file>