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5B4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 Viral3</w:t>
      </w:r>
    </w:p>
    <w:p w14:paraId="66CE942B" w14:textId="77777777" w:rsidR="006C42CE" w:rsidRPr="006C42CE" w:rsidRDefault="006C42CE" w:rsidP="006C42CE">
      <w:pPr>
        <w:pStyle w:val="a3"/>
        <w:spacing w:after="0"/>
        <w:rPr>
          <w:rFonts w:ascii="굴림체" w:eastAsia="굴림체" w:hAnsi="굴림체" w:cs="굴림체"/>
        </w:rPr>
      </w:pPr>
    </w:p>
    <w:p w14:paraId="1E17215F"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Viral-Induced Excitation-Inhibition Imbalance: A Metabolic Framework for Neuropsychiatric Sequelae in Long COVID</w:t>
      </w:r>
    </w:p>
    <w:p w14:paraId="7867F4A1" w14:textId="77777777" w:rsidR="006C42CE" w:rsidRPr="006C42CE" w:rsidRDefault="006C42CE" w:rsidP="006C42CE">
      <w:pPr>
        <w:pStyle w:val="a3"/>
        <w:spacing w:after="0"/>
        <w:rPr>
          <w:rFonts w:ascii="굴림체" w:eastAsia="굴림체" w:hAnsi="굴림체" w:cs="굴림체"/>
        </w:rPr>
      </w:pPr>
    </w:p>
    <w:p w14:paraId="4720AA6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Abstract</w:t>
      </w:r>
    </w:p>
    <w:p w14:paraId="4B35995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Post-Acute Sequelae of COVID-19 (PASC) presents a clinical paradox wherein patients exhibit simultaneous hyperarousal (anxiety, insomnia) and metabolic exhaustion (fatigue, cognitive dysfunction). Current neuroinflammatory models describe these symptoms in isolation but lack a unified mechanism explaining their co-occurrence. This paper proposes that persistent viral-induced inflammation disrupts the activity of Glutamate Decarboxylase 67 (GAD67), the rate-limiting enzyme responsible for converting excitatory glutamate into inhibitory GABA. We hypothesize that the sequestration of metabolic cofactors (specifically Pyridoxal 5'-Phosphate) and cytokine-mediated downregulation of GAD1 expression creates a "locked" hyper-glutamatergic state. This results in a functional "Metabolic Schizophrenia," where the brain is electrically overactive yet bioenergetically depleted. This framework identifies the restoration of GAD67 enzymatic function as a primary therapeutic target.</w:t>
      </w:r>
    </w:p>
    <w:p w14:paraId="62497939" w14:textId="77777777" w:rsidR="006C42CE" w:rsidRPr="006C42CE" w:rsidRDefault="006C42CE" w:rsidP="006C42CE">
      <w:pPr>
        <w:pStyle w:val="a3"/>
        <w:spacing w:after="0"/>
        <w:rPr>
          <w:rFonts w:ascii="굴림체" w:eastAsia="굴림체" w:hAnsi="굴림체" w:cs="굴림체"/>
        </w:rPr>
      </w:pPr>
    </w:p>
    <w:p w14:paraId="37BC63E3"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1. Introduction: The "Tired but Wired" Paradox</w:t>
      </w:r>
    </w:p>
    <w:p w14:paraId="5150CFAF" w14:textId="77777777" w:rsidR="006C42CE" w:rsidRPr="006C42CE" w:rsidRDefault="006C42CE" w:rsidP="006C42CE">
      <w:pPr>
        <w:pStyle w:val="a3"/>
        <w:spacing w:after="0"/>
        <w:rPr>
          <w:rFonts w:ascii="굴림체" w:eastAsia="굴림체" w:hAnsi="굴림체" w:cs="굴림체"/>
        </w:rPr>
      </w:pPr>
    </w:p>
    <w:p w14:paraId="243C4CB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The neuropsychiatric burden of Long COVID affects a significant proportion of survivors, characterized by a debilitating cycle of "tired but wired" symptoms (1). Patients frequently report an inability to initiate sleep or achieve relaxation despite profound physical exhaustion. This phenomenological experience mirrors a specific failure of the Autonomic Nervous System (ANS) to transition from a catabolic, high-energy state (Sympathetic) to an anabolic, restorative state (Parasympathetic).</w:t>
      </w:r>
    </w:p>
    <w:p w14:paraId="38579751" w14:textId="77777777" w:rsidR="006C42CE" w:rsidRPr="006C42CE" w:rsidRDefault="006C42CE" w:rsidP="006C42CE">
      <w:pPr>
        <w:pStyle w:val="a3"/>
        <w:spacing w:after="0"/>
        <w:rPr>
          <w:rFonts w:ascii="굴림체" w:eastAsia="굴림체" w:hAnsi="굴림체" w:cs="굴림체"/>
        </w:rPr>
      </w:pPr>
    </w:p>
    <w:p w14:paraId="1354D6E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Recent proton magnetic resonance spectroscopy ($^1$H-MRS) studies have validated this clinical observation, demonstrating significantly reduced cortical GABA levels and elevated Glutamate/Glutamine (Glx) ratios in PASC patients compared to healthy controls (2). While these findings confirm an Excitation/Inhibition (E/I) imbalance, the upstream driver of this imbalance remains under-characterized. We propose that this dysregulation is not merely a downstream effect of general brain damage, but a specific failure of the enzymatic "brake" mechanism: Glutamate Decarboxylase 67 (GAD67) (3).</w:t>
      </w:r>
    </w:p>
    <w:p w14:paraId="38C5BCB4" w14:textId="77777777" w:rsidR="006C42CE" w:rsidRPr="006C42CE" w:rsidRDefault="006C42CE" w:rsidP="006C42CE">
      <w:pPr>
        <w:pStyle w:val="a3"/>
        <w:spacing w:after="0"/>
        <w:rPr>
          <w:rFonts w:ascii="굴림체" w:eastAsia="굴림체" w:hAnsi="굴림체" w:cs="굴림체"/>
        </w:rPr>
      </w:pPr>
    </w:p>
    <w:p w14:paraId="14E51C3C"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2. The Mechanism: GAD67 Failure and the Glutamate Trap</w:t>
      </w:r>
    </w:p>
    <w:p w14:paraId="3478F148" w14:textId="77777777" w:rsidR="006C42CE" w:rsidRPr="006C42CE" w:rsidRDefault="006C42CE" w:rsidP="006C42CE">
      <w:pPr>
        <w:pStyle w:val="a3"/>
        <w:spacing w:after="0"/>
        <w:rPr>
          <w:rFonts w:ascii="굴림체" w:eastAsia="굴림체" w:hAnsi="굴림체" w:cs="굴림체"/>
        </w:rPr>
      </w:pPr>
    </w:p>
    <w:p w14:paraId="1ECD1593"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 xml:space="preserve">In a healthy homeostatic system, the brain manages energy expenditure through the balance of glutamate (excitation) and GABA (inhibition). GAD67 is the constitutive enzyme responsible for over 90% of basal GABA synthesis, maintaining the "tonic inhibition" required for neural </w:t>
      </w:r>
      <w:r w:rsidRPr="006C42CE">
        <w:rPr>
          <w:rFonts w:ascii="굴림체" w:eastAsia="굴림체" w:hAnsi="굴림체" w:cs="굴림체"/>
        </w:rPr>
        <w:lastRenderedPageBreak/>
        <w:t>stability (4).</w:t>
      </w:r>
    </w:p>
    <w:p w14:paraId="3CC167A4" w14:textId="77777777" w:rsidR="006C42CE" w:rsidRPr="006C42CE" w:rsidRDefault="006C42CE" w:rsidP="006C42CE">
      <w:pPr>
        <w:pStyle w:val="a3"/>
        <w:spacing w:after="0"/>
        <w:rPr>
          <w:rFonts w:ascii="굴림체" w:eastAsia="굴림체" w:hAnsi="굴림체" w:cs="굴림체"/>
        </w:rPr>
      </w:pPr>
    </w:p>
    <w:p w14:paraId="62B1E41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2.1 The Enzymatic Bottleneck (Apoenzyme vs. Holoenzyme)</w:t>
      </w:r>
    </w:p>
    <w:p w14:paraId="5D88BE5E" w14:textId="77777777" w:rsidR="006C42CE" w:rsidRPr="006C42CE" w:rsidRDefault="006C42CE" w:rsidP="006C42CE">
      <w:pPr>
        <w:pStyle w:val="a3"/>
        <w:spacing w:after="0"/>
        <w:rPr>
          <w:rFonts w:ascii="굴림체" w:eastAsia="굴림체" w:hAnsi="굴림체" w:cs="굴림체"/>
        </w:rPr>
      </w:pPr>
    </w:p>
    <w:p w14:paraId="61FBFED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GAD67 is not a static protein; it is a highly dynamic enzyme that oscillates between an inactive "apoenzyme" state and an active "holoenzyme" state. This transition is strictly dependent on the binding of its cofactor, Pyridoxal 5'-Phosphate (PLP), the active form of Vitamin B6. Structural characterization of GAD67 has definitively shown that its catalytic loop is only active when bound to PLP; without this cofactor, the enzyme remains structurally locked and inactive (4).</w:t>
      </w:r>
    </w:p>
    <w:p w14:paraId="1B6BED53" w14:textId="77777777" w:rsidR="006C42CE" w:rsidRPr="006C42CE" w:rsidRDefault="006C42CE" w:rsidP="006C42CE">
      <w:pPr>
        <w:pStyle w:val="a3"/>
        <w:spacing w:after="0"/>
        <w:rPr>
          <w:rFonts w:ascii="굴림체" w:eastAsia="굴림체" w:hAnsi="굴림체" w:cs="굴림체"/>
        </w:rPr>
      </w:pPr>
    </w:p>
    <w:p w14:paraId="167C489F"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We propose that in PASC, this conversion process is rate-limited by cofactor availability. If GAD67 cannot function, glutamate—the substrate—accumulates in the synapse.</w:t>
      </w:r>
    </w:p>
    <w:p w14:paraId="38FAA978" w14:textId="77777777" w:rsidR="006C42CE" w:rsidRPr="006C42CE" w:rsidRDefault="006C42CE" w:rsidP="006C42CE">
      <w:pPr>
        <w:pStyle w:val="a3"/>
        <w:spacing w:after="0"/>
        <w:rPr>
          <w:rFonts w:ascii="굴림체" w:eastAsia="굴림체" w:hAnsi="굴림체" w:cs="굴림체"/>
        </w:rPr>
      </w:pPr>
    </w:p>
    <w:p w14:paraId="034432C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2.2 The Hyper-Glutamatergic State ("Wired")</w:t>
      </w:r>
    </w:p>
    <w:p w14:paraId="6A5D532F" w14:textId="77777777" w:rsidR="006C42CE" w:rsidRPr="006C42CE" w:rsidRDefault="006C42CE" w:rsidP="006C42CE">
      <w:pPr>
        <w:pStyle w:val="a3"/>
        <w:spacing w:after="0"/>
        <w:rPr>
          <w:rFonts w:ascii="굴림체" w:eastAsia="굴림체" w:hAnsi="굴림체" w:cs="굴림체"/>
        </w:rPr>
      </w:pPr>
    </w:p>
    <w:p w14:paraId="194D302F"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The failure of conversion leads to a synaptic accumulation of glutamate. This drives the sympathetic nervous system into a state of chronic overdrive, manifesting clinically as anxiety, tachycardia, and insomnia (5). The patient is chemically "locked" in sympathetic dominance because the metabolic pathway required to synthesize the "parasympathetic signal" (GABA) is mechanically blocked at the enzymatic level.</w:t>
      </w:r>
    </w:p>
    <w:p w14:paraId="413E3A17" w14:textId="77777777" w:rsidR="006C42CE" w:rsidRPr="006C42CE" w:rsidRDefault="006C42CE" w:rsidP="006C42CE">
      <w:pPr>
        <w:pStyle w:val="a3"/>
        <w:spacing w:after="0"/>
        <w:rPr>
          <w:rFonts w:ascii="굴림체" w:eastAsia="굴림체" w:hAnsi="굴림체" w:cs="굴림체"/>
        </w:rPr>
      </w:pPr>
    </w:p>
    <w:p w14:paraId="0B4754F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2.3 GABA Depletion and Mitochondrial Exhaustion ("Tired")</w:t>
      </w:r>
    </w:p>
    <w:p w14:paraId="4A93E5BE" w14:textId="77777777" w:rsidR="006C42CE" w:rsidRPr="006C42CE" w:rsidRDefault="006C42CE" w:rsidP="006C42CE">
      <w:pPr>
        <w:pStyle w:val="a3"/>
        <w:spacing w:after="0"/>
        <w:rPr>
          <w:rFonts w:ascii="굴림체" w:eastAsia="굴림체" w:hAnsi="굴림체" w:cs="굴림체"/>
        </w:rPr>
      </w:pPr>
    </w:p>
    <w:p w14:paraId="26E18B95"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Simultaneously, the failure to synthesize GABA deprives the brain of tonic inhibition. Without GABA to dampen neural firing, neural circuits continue to fire at high frequency, consuming Adenosine Triphosphate (ATP) at an unsustainable rate. This "neural friction" leads to rapid mitochondrial exhaustion, experienced by the patient as profound cognitive fatigue or "brain fog" (6). The brain effectively operates like an engine revving at maximum RPM in neutral—burning fuel rapidly without achieving restorative function.</w:t>
      </w:r>
    </w:p>
    <w:p w14:paraId="35B499A3" w14:textId="77777777" w:rsidR="006C42CE" w:rsidRPr="006C42CE" w:rsidRDefault="006C42CE" w:rsidP="006C42CE">
      <w:pPr>
        <w:pStyle w:val="a3"/>
        <w:spacing w:after="0"/>
        <w:rPr>
          <w:rFonts w:ascii="굴림체" w:eastAsia="굴림체" w:hAnsi="굴림체" w:cs="굴림체"/>
        </w:rPr>
      </w:pPr>
    </w:p>
    <w:p w14:paraId="6C76D92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3. Viral Drivers of Enzymatic Failure</w:t>
      </w:r>
    </w:p>
    <w:p w14:paraId="2674BBCE" w14:textId="77777777" w:rsidR="006C42CE" w:rsidRPr="006C42CE" w:rsidRDefault="006C42CE" w:rsidP="006C42CE">
      <w:pPr>
        <w:pStyle w:val="a3"/>
        <w:spacing w:after="0"/>
        <w:rPr>
          <w:rFonts w:ascii="굴림체" w:eastAsia="굴림체" w:hAnsi="굴림체" w:cs="굴림체"/>
        </w:rPr>
      </w:pPr>
    </w:p>
    <w:p w14:paraId="6755883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The dysfunction of GAD67 in PASC can be attributed to a "Perfect Storm" of three convergent viral mechanisms: metabolic theft, mitochondrial hijacking, and transcriptional suppression.</w:t>
      </w:r>
    </w:p>
    <w:p w14:paraId="57571FD6" w14:textId="77777777" w:rsidR="006C42CE" w:rsidRPr="006C42CE" w:rsidRDefault="006C42CE" w:rsidP="006C42CE">
      <w:pPr>
        <w:pStyle w:val="a3"/>
        <w:spacing w:after="0"/>
        <w:rPr>
          <w:rFonts w:ascii="굴림체" w:eastAsia="굴림체" w:hAnsi="굴림체" w:cs="굴림체"/>
        </w:rPr>
      </w:pPr>
    </w:p>
    <w:p w14:paraId="446D32A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3.1 Viral Sequestration of PLP (The Kynurenine Trap)</w:t>
      </w:r>
    </w:p>
    <w:p w14:paraId="2C3C14D2" w14:textId="77777777" w:rsidR="006C42CE" w:rsidRPr="006C42CE" w:rsidRDefault="006C42CE" w:rsidP="006C42CE">
      <w:pPr>
        <w:pStyle w:val="a3"/>
        <w:spacing w:after="0"/>
        <w:rPr>
          <w:rFonts w:ascii="굴림체" w:eastAsia="굴림체" w:hAnsi="굴림체" w:cs="굴림체"/>
        </w:rPr>
      </w:pPr>
    </w:p>
    <w:p w14:paraId="17F776F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 xml:space="preserve">Viral replication and the associated hyper-inflammatory response place an immense demand on host metabolic resources. Emerging evidence suggests that SARS-CoV-2 infection profoundly alters host one-carbon metabolism and </w:t>
      </w:r>
      <w:r w:rsidRPr="006C42CE">
        <w:rPr>
          <w:rFonts w:ascii="굴림체" w:eastAsia="굴림체" w:hAnsi="굴림체" w:cs="굴림체"/>
        </w:rPr>
        <w:lastRenderedPageBreak/>
        <w:t>cofactor availability (7). Crucially, the immune response activates the Kynurenine Pathway to degrade tryptophan (an antiviral defense). This pathway is heavily PLP-dependent, specifically the enzymes kynureninase and kynurenine aminotransferase (14).</w:t>
      </w:r>
    </w:p>
    <w:p w14:paraId="0B9B7777" w14:textId="77777777" w:rsidR="006C42CE" w:rsidRPr="006C42CE" w:rsidRDefault="006C42CE" w:rsidP="006C42CE">
      <w:pPr>
        <w:pStyle w:val="a3"/>
        <w:spacing w:after="0"/>
        <w:rPr>
          <w:rFonts w:ascii="굴림체" w:eastAsia="굴림체" w:hAnsi="굴림체" w:cs="굴림체"/>
        </w:rPr>
      </w:pPr>
    </w:p>
    <w:p w14:paraId="6642B74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We hypothesize that the chronic immune activation seen in Long COVID creates a systemic "sink" for PLP, diverting it away from the central nervous system to fuel the immune response. This creates a functional "famine" for GAD67. Even if the enzyme protein is present, it remains in its inactive apoenzyme form due to the lack of PLP (8). This aligns with findings that Vitamin B6 deficiency is common in severe COVID-19 outcomes and is linked to pro-inflammatory cytokine storms (9).</w:t>
      </w:r>
    </w:p>
    <w:p w14:paraId="287D9DE5" w14:textId="77777777" w:rsidR="006C42CE" w:rsidRPr="006C42CE" w:rsidRDefault="006C42CE" w:rsidP="006C42CE">
      <w:pPr>
        <w:pStyle w:val="a3"/>
        <w:spacing w:after="0"/>
        <w:rPr>
          <w:rFonts w:ascii="굴림체" w:eastAsia="굴림체" w:hAnsi="굴림체" w:cs="굴림체"/>
        </w:rPr>
      </w:pPr>
    </w:p>
    <w:p w14:paraId="761F2D22"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3.2 Mitochondrial Hijacking and the Glutamate Backlog</w:t>
      </w:r>
    </w:p>
    <w:p w14:paraId="2513747A" w14:textId="77777777" w:rsidR="006C42CE" w:rsidRPr="006C42CE" w:rsidRDefault="006C42CE" w:rsidP="006C42CE">
      <w:pPr>
        <w:pStyle w:val="a3"/>
        <w:spacing w:after="0"/>
        <w:rPr>
          <w:rFonts w:ascii="굴림체" w:eastAsia="굴림체" w:hAnsi="굴림체" w:cs="굴림체"/>
        </w:rPr>
      </w:pPr>
    </w:p>
    <w:p w14:paraId="7668415C"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SARS-CoV-2 has been shown to directly hijack host mitochondria to facilitate viral replication, downregulating core mitochondrial genes and impairing oxidative phosphorylation (15). Dysfunctional mitochondria cannot effectively process glutamate through the TCA cycle (via Glutamate Dehydrogenase). This metabolic block causes intracellular glutamate levels to rise even further, placing an impossible burden on GAD67 to clear the excess—at the exact moment GAD67 is disabled by PLP deficiency (16).</w:t>
      </w:r>
    </w:p>
    <w:p w14:paraId="18A06CD9" w14:textId="77777777" w:rsidR="006C42CE" w:rsidRPr="006C42CE" w:rsidRDefault="006C42CE" w:rsidP="006C42CE">
      <w:pPr>
        <w:pStyle w:val="a3"/>
        <w:spacing w:after="0"/>
        <w:rPr>
          <w:rFonts w:ascii="굴림체" w:eastAsia="굴림체" w:hAnsi="굴림체" w:cs="굴림체"/>
        </w:rPr>
      </w:pPr>
    </w:p>
    <w:p w14:paraId="5D7C6F3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3.3 Neuroinflammatory Downregulation of GAD1</w:t>
      </w:r>
    </w:p>
    <w:p w14:paraId="09C3552B" w14:textId="77777777" w:rsidR="006C42CE" w:rsidRPr="006C42CE" w:rsidRDefault="006C42CE" w:rsidP="006C42CE">
      <w:pPr>
        <w:pStyle w:val="a3"/>
        <w:spacing w:after="0"/>
        <w:rPr>
          <w:rFonts w:ascii="굴림체" w:eastAsia="굴림체" w:hAnsi="굴림체" w:cs="굴림체"/>
        </w:rPr>
      </w:pPr>
    </w:p>
    <w:p w14:paraId="25A71157"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Beyond cofactor theft, the inflammatory milieu itself directly impacts enzyme expression. Chronic neuroinflammation, characterized by elevated TNF-$\alpha$ and IL-6, has been shown to transcriptionally downregulate GAD1, the gene encoding GAD67 (10). This creates a pathogenic feed-forward loop:</w:t>
      </w:r>
    </w:p>
    <w:p w14:paraId="1550EB5C" w14:textId="77777777" w:rsidR="006C42CE" w:rsidRPr="006C42CE" w:rsidRDefault="006C42CE" w:rsidP="006C42CE">
      <w:pPr>
        <w:pStyle w:val="a3"/>
        <w:spacing w:after="0"/>
        <w:rPr>
          <w:rFonts w:ascii="굴림체" w:eastAsia="굴림체" w:hAnsi="굴림체" w:cs="굴림체"/>
        </w:rPr>
      </w:pPr>
    </w:p>
    <w:p w14:paraId="5C61D71A"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Inflammation reduces GAD1 expression and GAD67 activity.</w:t>
      </w:r>
    </w:p>
    <w:p w14:paraId="3085E081" w14:textId="77777777" w:rsidR="006C42CE" w:rsidRPr="006C42CE" w:rsidRDefault="006C42CE" w:rsidP="006C42CE">
      <w:pPr>
        <w:pStyle w:val="a3"/>
        <w:spacing w:after="0"/>
        <w:rPr>
          <w:rFonts w:ascii="굴림체" w:eastAsia="굴림체" w:hAnsi="굴림체" w:cs="굴림체"/>
        </w:rPr>
      </w:pPr>
    </w:p>
    <w:p w14:paraId="1B02897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Reduced GABA removes the "brake" on immune cells (which have GABA receptors that dampen their activity).</w:t>
      </w:r>
    </w:p>
    <w:p w14:paraId="4B602A1D" w14:textId="77777777" w:rsidR="006C42CE" w:rsidRPr="006C42CE" w:rsidRDefault="006C42CE" w:rsidP="006C42CE">
      <w:pPr>
        <w:pStyle w:val="a3"/>
        <w:spacing w:after="0"/>
        <w:rPr>
          <w:rFonts w:ascii="굴림체" w:eastAsia="굴림체" w:hAnsi="굴림체" w:cs="굴림체"/>
        </w:rPr>
      </w:pPr>
    </w:p>
    <w:p w14:paraId="433C87D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Unopposed Excitation promotes further release of pro-inflammatory cytokines, further suppressing GAD67 (11).</w:t>
      </w:r>
    </w:p>
    <w:p w14:paraId="0434B6ED" w14:textId="77777777" w:rsidR="006C42CE" w:rsidRPr="006C42CE" w:rsidRDefault="006C42CE" w:rsidP="006C42CE">
      <w:pPr>
        <w:pStyle w:val="a3"/>
        <w:spacing w:after="0"/>
        <w:rPr>
          <w:rFonts w:ascii="굴림체" w:eastAsia="굴림체" w:hAnsi="굴림체" w:cs="굴림체"/>
        </w:rPr>
      </w:pPr>
    </w:p>
    <w:p w14:paraId="755A57D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4. Therapeutic Implications</w:t>
      </w:r>
    </w:p>
    <w:p w14:paraId="25E7F632" w14:textId="77777777" w:rsidR="006C42CE" w:rsidRPr="006C42CE" w:rsidRDefault="006C42CE" w:rsidP="006C42CE">
      <w:pPr>
        <w:pStyle w:val="a3"/>
        <w:spacing w:after="0"/>
        <w:rPr>
          <w:rFonts w:ascii="굴림체" w:eastAsia="굴림체" w:hAnsi="굴림체" w:cs="굴림체"/>
        </w:rPr>
      </w:pPr>
    </w:p>
    <w:p w14:paraId="4EDCAD03"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Current management of PASC often relies on serotonergic agents (SSRIs) or non-specific sedatives, which do not address the underlying enzymatic failure. This framework suggests a targeted metabolic approach to "restart" the GAD67 enzyme:</w:t>
      </w:r>
    </w:p>
    <w:p w14:paraId="02E6258F" w14:textId="77777777" w:rsidR="006C42CE" w:rsidRPr="006C42CE" w:rsidRDefault="006C42CE" w:rsidP="006C42CE">
      <w:pPr>
        <w:pStyle w:val="a3"/>
        <w:spacing w:after="0"/>
        <w:rPr>
          <w:rFonts w:ascii="굴림체" w:eastAsia="굴림체" w:hAnsi="굴림체" w:cs="굴림체"/>
        </w:rPr>
      </w:pPr>
    </w:p>
    <w:p w14:paraId="523B8DC7"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4.1 Cofactor Restoration (PLP)</w:t>
      </w:r>
    </w:p>
    <w:p w14:paraId="51BAF94A" w14:textId="77777777" w:rsidR="006C42CE" w:rsidRPr="006C42CE" w:rsidRDefault="006C42CE" w:rsidP="006C42CE">
      <w:pPr>
        <w:pStyle w:val="a3"/>
        <w:spacing w:after="0"/>
        <w:rPr>
          <w:rFonts w:ascii="굴림체" w:eastAsia="굴림체" w:hAnsi="굴림체" w:cs="굴림체"/>
        </w:rPr>
      </w:pPr>
    </w:p>
    <w:p w14:paraId="0CFA6F3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High-dose supplementation with the bioactive form of Vitamin B6 (Pyridoxal 5'-Phosphate) is required to saturate the GAD67 apoenzyme and force it into its active holoenzyme conformation. Standard Pyridoxine (inactive B6) may be insufficient due to the metabolic block in conversion enzymes caused by inflammation (17).</w:t>
      </w:r>
    </w:p>
    <w:p w14:paraId="7E8A4B73" w14:textId="77777777" w:rsidR="006C42CE" w:rsidRPr="006C42CE" w:rsidRDefault="006C42CE" w:rsidP="006C42CE">
      <w:pPr>
        <w:pStyle w:val="a3"/>
        <w:spacing w:after="0"/>
        <w:rPr>
          <w:rFonts w:ascii="굴림체" w:eastAsia="굴림체" w:hAnsi="굴림체" w:cs="굴림체"/>
        </w:rPr>
      </w:pPr>
    </w:p>
    <w:p w14:paraId="1A7D883F"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4.2 Magnesium as the Stabilizer</w:t>
      </w:r>
    </w:p>
    <w:p w14:paraId="5CE089F7" w14:textId="77777777" w:rsidR="006C42CE" w:rsidRPr="006C42CE" w:rsidRDefault="006C42CE" w:rsidP="006C42CE">
      <w:pPr>
        <w:pStyle w:val="a3"/>
        <w:spacing w:after="0"/>
        <w:rPr>
          <w:rFonts w:ascii="굴림체" w:eastAsia="굴림체" w:hAnsi="굴림체" w:cs="굴림체"/>
        </w:rPr>
      </w:pPr>
    </w:p>
    <w:p w14:paraId="2D19A199"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Magnesium is a critical stabilizer of the ATP-PLP binding complex; its deficiency is frequently comorbid with B6 deficiency and exacerbates excitotoxicity by removing the magnesium block on NMDA (glutamate) receptors. Correcting magnesium status is essential to allow GAD67 to function and to protect neurons from the accumulated glutamate (18).</w:t>
      </w:r>
    </w:p>
    <w:p w14:paraId="4B592E64" w14:textId="77777777" w:rsidR="006C42CE" w:rsidRPr="006C42CE" w:rsidRDefault="006C42CE" w:rsidP="006C42CE">
      <w:pPr>
        <w:pStyle w:val="a3"/>
        <w:spacing w:after="0"/>
        <w:rPr>
          <w:rFonts w:ascii="굴림체" w:eastAsia="굴림체" w:hAnsi="굴림체" w:cs="굴림체"/>
        </w:rPr>
      </w:pPr>
    </w:p>
    <w:p w14:paraId="37559AE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4.3 Reducing the Glutamate Load</w:t>
      </w:r>
    </w:p>
    <w:p w14:paraId="6A2565D0" w14:textId="77777777" w:rsidR="006C42CE" w:rsidRPr="006C42CE" w:rsidRDefault="006C42CE" w:rsidP="006C42CE">
      <w:pPr>
        <w:pStyle w:val="a3"/>
        <w:spacing w:after="0"/>
        <w:rPr>
          <w:rFonts w:ascii="굴림체" w:eastAsia="굴림체" w:hAnsi="굴림체" w:cs="굴림체"/>
        </w:rPr>
      </w:pPr>
    </w:p>
    <w:p w14:paraId="37BFD619"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Reducing the total glutamate load through nutritional or pharmacological means may allow mitochondrial function to recover, resolving the fatigue component (19).</w:t>
      </w:r>
    </w:p>
    <w:p w14:paraId="55854862" w14:textId="77777777" w:rsidR="006C42CE" w:rsidRPr="006C42CE" w:rsidRDefault="006C42CE" w:rsidP="006C42CE">
      <w:pPr>
        <w:pStyle w:val="a3"/>
        <w:spacing w:after="0"/>
        <w:rPr>
          <w:rFonts w:ascii="굴림체" w:eastAsia="굴림체" w:hAnsi="굴림체" w:cs="굴림체"/>
        </w:rPr>
      </w:pPr>
    </w:p>
    <w:p w14:paraId="7536C67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5. Conclusion</w:t>
      </w:r>
    </w:p>
    <w:p w14:paraId="5169C962" w14:textId="77777777" w:rsidR="006C42CE" w:rsidRPr="006C42CE" w:rsidRDefault="006C42CE" w:rsidP="006C42CE">
      <w:pPr>
        <w:pStyle w:val="a3"/>
        <w:spacing w:after="0"/>
        <w:rPr>
          <w:rFonts w:ascii="굴림체" w:eastAsia="굴림체" w:hAnsi="굴림체" w:cs="굴림체"/>
        </w:rPr>
      </w:pPr>
    </w:p>
    <w:p w14:paraId="625F86F2"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Long COVID neuropsychiatric symptoms represent a specific "Metabolic Schizophrenia"—a functional disconnection between the brain's energy supply and its inhibitory control systems. By identifying the GAD67-PLP axis as the central failure point, we resolve the paradox of simultaneous fatigue and anxiety. The virus has not just damaged the brain; it has hijacked the metabolic cofactors required to apply the brake. Restoring this enzymatic function offers a logical, mechanistically sound path to recovery.</w:t>
      </w:r>
    </w:p>
    <w:p w14:paraId="05C8E3A9" w14:textId="77777777" w:rsidR="006C42CE" w:rsidRPr="006C42CE" w:rsidRDefault="006C42CE" w:rsidP="006C42CE">
      <w:pPr>
        <w:pStyle w:val="a3"/>
        <w:spacing w:after="0"/>
        <w:rPr>
          <w:rFonts w:ascii="굴림체" w:eastAsia="굴림체" w:hAnsi="굴림체" w:cs="굴림체"/>
        </w:rPr>
      </w:pPr>
    </w:p>
    <w:p w14:paraId="06D27389" w14:textId="77777777" w:rsidR="006C42CE" w:rsidRPr="006C42CE" w:rsidRDefault="006C42CE" w:rsidP="006C42CE">
      <w:pPr>
        <w:pStyle w:val="a3"/>
        <w:spacing w:after="0"/>
        <w:rPr>
          <w:rFonts w:ascii="굴림체" w:eastAsia="굴림체" w:hAnsi="굴림체" w:cs="굴림체"/>
        </w:rPr>
      </w:pPr>
    </w:p>
    <w:p w14:paraId="52A6F788" w14:textId="77777777" w:rsidR="006C42CE" w:rsidRPr="006C42CE" w:rsidRDefault="006C42CE" w:rsidP="006C42CE">
      <w:pPr>
        <w:pStyle w:val="a3"/>
        <w:spacing w:after="0"/>
        <w:rPr>
          <w:rFonts w:ascii="굴림체" w:eastAsia="굴림체" w:hAnsi="굴림체" w:cs="굴림체"/>
        </w:rPr>
      </w:pPr>
    </w:p>
    <w:p w14:paraId="6A72EF0D"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References</w:t>
      </w:r>
    </w:p>
    <w:p w14:paraId="5649ACF9" w14:textId="77777777" w:rsidR="006C42CE" w:rsidRPr="006C42CE" w:rsidRDefault="006C42CE" w:rsidP="006C42CE">
      <w:pPr>
        <w:pStyle w:val="a3"/>
        <w:spacing w:after="0"/>
        <w:rPr>
          <w:rFonts w:ascii="굴림체" w:eastAsia="굴림체" w:hAnsi="굴림체" w:cs="굴림체"/>
        </w:rPr>
      </w:pPr>
    </w:p>
    <w:p w14:paraId="637DB1D5"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Davis, H. E., McCorkell, L., Vogel, J. M., &amp; Topol, E. J. (2023). Long COVID: major findings, mechanisms and recommendations. Nature Reviews Microbiology, 21(3), 133-146.</w:t>
      </w:r>
    </w:p>
    <w:p w14:paraId="681C2F5D" w14:textId="77777777" w:rsidR="006C42CE" w:rsidRPr="006C42CE" w:rsidRDefault="006C42CE" w:rsidP="006C42CE">
      <w:pPr>
        <w:pStyle w:val="a3"/>
        <w:spacing w:after="0"/>
        <w:rPr>
          <w:rFonts w:ascii="굴림체" w:eastAsia="굴림체" w:hAnsi="굴림체" w:cs="굴림체"/>
        </w:rPr>
      </w:pPr>
    </w:p>
    <w:p w14:paraId="1C51EDB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Maikusa, N., et al. (2023). Reduced GABA levels in the medial prefrontal cortex of Long COVID patients: A $^1$H-MRS study. Neurobiology of Stress, 24, 100543.</w:t>
      </w:r>
    </w:p>
    <w:p w14:paraId="0E191A50" w14:textId="77777777" w:rsidR="006C42CE" w:rsidRPr="006C42CE" w:rsidRDefault="006C42CE" w:rsidP="006C42CE">
      <w:pPr>
        <w:pStyle w:val="a3"/>
        <w:spacing w:after="0"/>
        <w:rPr>
          <w:rFonts w:ascii="굴림체" w:eastAsia="굴림체" w:hAnsi="굴림체" w:cs="굴림체"/>
        </w:rPr>
      </w:pPr>
    </w:p>
    <w:p w14:paraId="7413359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Curatolo, P., et al. (2021). The role of GAD67 in the excitation/inhibition balance and its relevance for neurodevelopmental disorders. Frontiers in Neuroscience, 15, 645.</w:t>
      </w:r>
    </w:p>
    <w:p w14:paraId="1FFAF8F5" w14:textId="77777777" w:rsidR="006C42CE" w:rsidRPr="006C42CE" w:rsidRDefault="006C42CE" w:rsidP="006C42CE">
      <w:pPr>
        <w:pStyle w:val="a3"/>
        <w:spacing w:after="0"/>
        <w:rPr>
          <w:rFonts w:ascii="굴림체" w:eastAsia="굴림체" w:hAnsi="굴림체" w:cs="굴림체"/>
        </w:rPr>
      </w:pPr>
    </w:p>
    <w:p w14:paraId="7A2D9D73"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Fenalti, G., Law, R. H., Buckle, A. M., Langendorf, C., Tuck, K., Rosado, C. J., ... &amp; Whisstock, J. C. (2007). GABA production by glutamic acid decarboxylase is regulated by a dynamic catalytic loop. Nature Structural &amp; Molecular Biology, 14(4), 280–286.</w:t>
      </w:r>
    </w:p>
    <w:p w14:paraId="42FE4BCC" w14:textId="77777777" w:rsidR="006C42CE" w:rsidRPr="006C42CE" w:rsidRDefault="006C42CE" w:rsidP="006C42CE">
      <w:pPr>
        <w:pStyle w:val="a3"/>
        <w:spacing w:after="0"/>
        <w:rPr>
          <w:rFonts w:ascii="굴림체" w:eastAsia="굴림체" w:hAnsi="굴림체" w:cs="굴림체"/>
        </w:rPr>
      </w:pPr>
    </w:p>
    <w:p w14:paraId="30AEB73D"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Bell Goldstein, M., et al. (2022). Autonomic dysfunction in Long COVID: Rationale, physiology, and management strategies. Frontiers in Neurology, 13, 973.</w:t>
      </w:r>
    </w:p>
    <w:p w14:paraId="39B868BE" w14:textId="77777777" w:rsidR="006C42CE" w:rsidRPr="006C42CE" w:rsidRDefault="006C42CE" w:rsidP="006C42CE">
      <w:pPr>
        <w:pStyle w:val="a3"/>
        <w:spacing w:after="0"/>
        <w:rPr>
          <w:rFonts w:ascii="굴림체" w:eastAsia="굴림체" w:hAnsi="굴림체" w:cs="굴림체"/>
        </w:rPr>
      </w:pPr>
    </w:p>
    <w:p w14:paraId="729702BC"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Proal, A. D., &amp; VanElzakker, M. B. (2021). Long COVID or Post-acute Sequelae of COVID-19 (PASC): An overview of biological factors that may contribute to persistent symptoms. Frontiers in Microbiology, 12, 698169.</w:t>
      </w:r>
    </w:p>
    <w:p w14:paraId="2650CB9A" w14:textId="77777777" w:rsidR="006C42CE" w:rsidRPr="006C42CE" w:rsidRDefault="006C42CE" w:rsidP="006C42CE">
      <w:pPr>
        <w:pStyle w:val="a3"/>
        <w:spacing w:after="0"/>
        <w:rPr>
          <w:rFonts w:ascii="굴림체" w:eastAsia="굴림체" w:hAnsi="굴림체" w:cs="굴림체"/>
        </w:rPr>
      </w:pPr>
    </w:p>
    <w:p w14:paraId="049F9C9B"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Zhang, P., et al. (2021). The role of Vitamin B6 in the cytokine storm of COVID-19. Frontiers in Nutrition, 8, 737.</w:t>
      </w:r>
    </w:p>
    <w:p w14:paraId="7A47889F" w14:textId="77777777" w:rsidR="006C42CE" w:rsidRPr="006C42CE" w:rsidRDefault="006C42CE" w:rsidP="006C42CE">
      <w:pPr>
        <w:pStyle w:val="a3"/>
        <w:spacing w:after="0"/>
        <w:rPr>
          <w:rFonts w:ascii="굴림체" w:eastAsia="굴림체" w:hAnsi="굴림체" w:cs="굴림체"/>
        </w:rPr>
      </w:pPr>
    </w:p>
    <w:p w14:paraId="2551434F"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Wu, J. Y., &amp; Martin, D. L. (1984). Pyridoxal phosphate-dependent enzymes: Structure and function of GAD. Journal of Neurochemistry, 42(6), 1607-1612.</w:t>
      </w:r>
    </w:p>
    <w:p w14:paraId="398FF7CE" w14:textId="77777777" w:rsidR="006C42CE" w:rsidRPr="006C42CE" w:rsidRDefault="006C42CE" w:rsidP="006C42CE">
      <w:pPr>
        <w:pStyle w:val="a3"/>
        <w:spacing w:after="0"/>
        <w:rPr>
          <w:rFonts w:ascii="굴림체" w:eastAsia="굴림체" w:hAnsi="굴림체" w:cs="굴림체"/>
        </w:rPr>
      </w:pPr>
    </w:p>
    <w:p w14:paraId="632265F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Kumrungsee, T., et al. (2020). Potential Role of Vitamin B6 in Ameliorating the Severity of COVID-19 and Its Complications. Frontiers in Nutrition, 7, 562051.</w:t>
      </w:r>
    </w:p>
    <w:p w14:paraId="39AE7D30" w14:textId="77777777" w:rsidR="006C42CE" w:rsidRPr="006C42CE" w:rsidRDefault="006C42CE" w:rsidP="006C42CE">
      <w:pPr>
        <w:pStyle w:val="a3"/>
        <w:spacing w:after="0"/>
        <w:rPr>
          <w:rFonts w:ascii="굴림체" w:eastAsia="굴림체" w:hAnsi="굴림체" w:cs="굴림체"/>
        </w:rPr>
      </w:pPr>
    </w:p>
    <w:p w14:paraId="760566B6"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Hyland, N. P., &amp; Cryan, J. F. (2010). Microbe-host interactions: Influence of the gut microbiota on the enteric nervous system. Developmental Biology, 341(2), 462-476.</w:t>
      </w:r>
    </w:p>
    <w:p w14:paraId="484250DF" w14:textId="77777777" w:rsidR="006C42CE" w:rsidRPr="006C42CE" w:rsidRDefault="006C42CE" w:rsidP="006C42CE">
      <w:pPr>
        <w:pStyle w:val="a3"/>
        <w:spacing w:after="0"/>
        <w:rPr>
          <w:rFonts w:ascii="굴림체" w:eastAsia="굴림체" w:hAnsi="굴림체" w:cs="굴림체"/>
        </w:rPr>
      </w:pPr>
    </w:p>
    <w:p w14:paraId="3325657C"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Dantzer, R. (2018). Neuroimmune interactions: from the brain to the immune system and vice versa. Physiological Reviews, 98(1), 477-504.</w:t>
      </w:r>
    </w:p>
    <w:p w14:paraId="3CB32428" w14:textId="77777777" w:rsidR="006C42CE" w:rsidRPr="006C42CE" w:rsidRDefault="006C42CE" w:rsidP="006C42CE">
      <w:pPr>
        <w:pStyle w:val="a3"/>
        <w:spacing w:after="0"/>
        <w:rPr>
          <w:rFonts w:ascii="굴림체" w:eastAsia="굴림체" w:hAnsi="굴림체" w:cs="굴림체"/>
        </w:rPr>
      </w:pPr>
    </w:p>
    <w:p w14:paraId="3F7EF1C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Warburg, O. (1956). On the origin of cancer cells. Science, 123(3191), 309-314.</w:t>
      </w:r>
    </w:p>
    <w:p w14:paraId="040DC0E0" w14:textId="77777777" w:rsidR="006C42CE" w:rsidRPr="006C42CE" w:rsidRDefault="006C42CE" w:rsidP="006C42CE">
      <w:pPr>
        <w:pStyle w:val="a3"/>
        <w:spacing w:after="0"/>
        <w:rPr>
          <w:rFonts w:ascii="굴림체" w:eastAsia="굴림체" w:hAnsi="굴림체" w:cs="굴림체"/>
        </w:rPr>
      </w:pPr>
    </w:p>
    <w:p w14:paraId="1EAD0E98"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Vander Heiden, M. G., et al. (2009). Understanding the Warburg effect: the metabolic requirements of cell proliferation. Science, 324(5930), 1029-1033.</w:t>
      </w:r>
    </w:p>
    <w:p w14:paraId="7015A00D" w14:textId="77777777" w:rsidR="006C42CE" w:rsidRPr="006C42CE" w:rsidRDefault="006C42CE" w:rsidP="006C42CE">
      <w:pPr>
        <w:pStyle w:val="a3"/>
        <w:spacing w:after="0"/>
        <w:rPr>
          <w:rFonts w:ascii="굴림체" w:eastAsia="굴림체" w:hAnsi="굴림체" w:cs="굴림체"/>
        </w:rPr>
      </w:pPr>
    </w:p>
    <w:p w14:paraId="08AA13D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Ulvik, A., et al. (2013). Kynurenine pathway metabolites: relevant to vitamin B-6 deficiency. The American Journal of Clinical Nutrition, 98(1), 151–159.</w:t>
      </w:r>
    </w:p>
    <w:p w14:paraId="7FC75E4A" w14:textId="77777777" w:rsidR="006C42CE" w:rsidRPr="006C42CE" w:rsidRDefault="006C42CE" w:rsidP="006C42CE">
      <w:pPr>
        <w:pStyle w:val="a3"/>
        <w:spacing w:after="0"/>
        <w:rPr>
          <w:rFonts w:ascii="굴림체" w:eastAsia="굴림체" w:hAnsi="굴림체" w:cs="굴림체"/>
        </w:rPr>
      </w:pPr>
    </w:p>
    <w:p w14:paraId="1E793884"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Singh, K. K., et al. (2020). Decoding SARS-CoV-2 hijacking of host mitochondria in COVID-19 pathogenesis. American Journal of Physiology-Cell Physiology, 319(2), C258-C267.</w:t>
      </w:r>
    </w:p>
    <w:p w14:paraId="2B79EEB4" w14:textId="77777777" w:rsidR="006C42CE" w:rsidRPr="006C42CE" w:rsidRDefault="006C42CE" w:rsidP="006C42CE">
      <w:pPr>
        <w:pStyle w:val="a3"/>
        <w:spacing w:after="0"/>
        <w:rPr>
          <w:rFonts w:ascii="굴림체" w:eastAsia="굴림체" w:hAnsi="굴림체" w:cs="굴림체"/>
        </w:rPr>
      </w:pPr>
    </w:p>
    <w:p w14:paraId="7FC7458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lastRenderedPageBreak/>
        <w:t>Horowitz, T., et al. (2023). Brain fog in long COVID: A glutamatergic hypothesis with astrocyte dysfunction. Medical Hypotheses, 174, 111055.</w:t>
      </w:r>
    </w:p>
    <w:p w14:paraId="1AC45472" w14:textId="77777777" w:rsidR="006C42CE" w:rsidRPr="006C42CE" w:rsidRDefault="006C42CE" w:rsidP="006C42CE">
      <w:pPr>
        <w:pStyle w:val="a3"/>
        <w:spacing w:after="0"/>
        <w:rPr>
          <w:rFonts w:ascii="굴림체" w:eastAsia="굴림체" w:hAnsi="굴림체" w:cs="굴림체"/>
        </w:rPr>
      </w:pPr>
    </w:p>
    <w:p w14:paraId="78E856A1"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Di Salvo, M. L., et al. (2012). Biomedical aspects of pyridoxal 5'-phosphate availability. Frontiers in Bioscience, 4, 897-913.</w:t>
      </w:r>
    </w:p>
    <w:p w14:paraId="045047B1" w14:textId="77777777" w:rsidR="006C42CE" w:rsidRPr="006C42CE" w:rsidRDefault="006C42CE" w:rsidP="006C42CE">
      <w:pPr>
        <w:pStyle w:val="a3"/>
        <w:spacing w:after="0"/>
        <w:rPr>
          <w:rFonts w:ascii="굴림체" w:eastAsia="굴림체" w:hAnsi="굴림체" w:cs="굴림체"/>
        </w:rPr>
      </w:pPr>
    </w:p>
    <w:p w14:paraId="16DB05AE"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Pochwat, B., et al. (2016). Brain glutamic acid decarboxylase-67kDa alterations in different models of depression and the effect of magnesium administration. Pharmacological Reports, 68(5), 1062-1068.</w:t>
      </w:r>
    </w:p>
    <w:p w14:paraId="6B759669" w14:textId="77777777" w:rsidR="006C42CE" w:rsidRPr="006C42CE" w:rsidRDefault="006C42CE" w:rsidP="006C42CE">
      <w:pPr>
        <w:pStyle w:val="a3"/>
        <w:spacing w:after="0"/>
        <w:rPr>
          <w:rFonts w:ascii="굴림체" w:eastAsia="굴림체" w:hAnsi="굴림체" w:cs="굴림체"/>
        </w:rPr>
      </w:pPr>
    </w:p>
    <w:p w14:paraId="19182ED0" w14:textId="77777777" w:rsidR="006C42CE" w:rsidRPr="006C42CE" w:rsidRDefault="006C42CE" w:rsidP="006C42CE">
      <w:pPr>
        <w:pStyle w:val="a3"/>
        <w:spacing w:after="0"/>
        <w:rPr>
          <w:rFonts w:ascii="굴림체" w:eastAsia="굴림체" w:hAnsi="굴림체" w:cs="굴림체"/>
        </w:rPr>
      </w:pPr>
      <w:r w:rsidRPr="006C42CE">
        <w:rPr>
          <w:rFonts w:ascii="굴림체" w:eastAsia="굴림체" w:hAnsi="굴림체" w:cs="굴림체"/>
        </w:rPr>
        <w:t>Wong, T. L., &amp; Weitzer, D. J. (2021). Long COVID and Myalgic Encephalomyelitis/Chronic Fatigue Syndrome (ME/CFS): A Systemic Review and Comparison of Clinical Presentation and Management. Gene Reports, 26, 101499.</w:t>
      </w:r>
    </w:p>
    <w:p w14:paraId="4FC88DFF" w14:textId="77777777" w:rsidR="006C42CE" w:rsidRPr="006C42CE" w:rsidRDefault="006C42CE" w:rsidP="006C42CE">
      <w:pPr>
        <w:pStyle w:val="a3"/>
        <w:spacing w:after="0"/>
        <w:rPr>
          <w:rFonts w:ascii="굴림체" w:eastAsia="굴림체" w:hAnsi="굴림체" w:cs="굴림체"/>
        </w:rPr>
      </w:pPr>
    </w:p>
    <w:p w14:paraId="5BFC3E76" w14:textId="77777777" w:rsidR="006C42CE" w:rsidRPr="006C42CE" w:rsidRDefault="006C42CE" w:rsidP="006C42CE">
      <w:pPr>
        <w:pStyle w:val="a3"/>
        <w:spacing w:after="0"/>
        <w:rPr>
          <w:rFonts w:ascii="굴림체" w:eastAsia="굴림체" w:hAnsi="굴림체" w:cs="굴림체"/>
        </w:rPr>
      </w:pPr>
    </w:p>
    <w:p w14:paraId="76F51200" w14:textId="77777777" w:rsidR="006C42CE" w:rsidRDefault="006C42CE" w:rsidP="006C42CE">
      <w:pPr>
        <w:pStyle w:val="a3"/>
        <w:spacing w:after="0"/>
        <w:rPr>
          <w:rFonts w:ascii="굴림체" w:eastAsia="굴림체" w:hAnsi="굴림체" w:cs="굴림체"/>
        </w:rPr>
      </w:pPr>
    </w:p>
    <w:sectPr w:rsidR="006C42CE" w:rsidSect="006C42CE">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46DC" w14:textId="77777777" w:rsidR="00362FFD" w:rsidRDefault="00362FFD" w:rsidP="00305EB5">
      <w:pPr>
        <w:spacing w:after="0"/>
      </w:pPr>
      <w:r>
        <w:separator/>
      </w:r>
    </w:p>
  </w:endnote>
  <w:endnote w:type="continuationSeparator" w:id="0">
    <w:p w14:paraId="035F0659" w14:textId="77777777" w:rsidR="00362FFD" w:rsidRDefault="00362FFD" w:rsidP="00305E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E5B4" w14:textId="77777777" w:rsidR="00362FFD" w:rsidRDefault="00362FFD" w:rsidP="00305EB5">
      <w:pPr>
        <w:spacing w:after="0"/>
      </w:pPr>
      <w:r>
        <w:separator/>
      </w:r>
    </w:p>
  </w:footnote>
  <w:footnote w:type="continuationSeparator" w:id="0">
    <w:p w14:paraId="2290C606" w14:textId="77777777" w:rsidR="00362FFD" w:rsidRDefault="00362FFD" w:rsidP="00305E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CE"/>
    <w:rsid w:val="00305EB5"/>
    <w:rsid w:val="00362FFD"/>
    <w:rsid w:val="006C42CE"/>
    <w:rsid w:val="00D86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5AD15"/>
  <w15:chartTrackingRefBased/>
  <w15:docId w15:val="{BCA3C1DD-2901-4AC9-BD1F-0F7B0DA3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894D4E"/>
    <w:rPr>
      <w:rFonts w:asciiTheme="minorEastAsia" w:hAnsi="Courier New" w:cs="Courier New"/>
    </w:rPr>
  </w:style>
  <w:style w:type="character" w:customStyle="1" w:styleId="Char">
    <w:name w:val="글자만 Char"/>
    <w:basedOn w:val="a0"/>
    <w:link w:val="a3"/>
    <w:uiPriority w:val="99"/>
    <w:rsid w:val="00894D4E"/>
    <w:rPr>
      <w:rFonts w:asciiTheme="minorEastAsia" w:hAnsi="Courier New" w:cs="Courier New"/>
    </w:rPr>
  </w:style>
  <w:style w:type="paragraph" w:styleId="a4">
    <w:name w:val="header"/>
    <w:basedOn w:val="a"/>
    <w:link w:val="Char0"/>
    <w:uiPriority w:val="99"/>
    <w:unhideWhenUsed/>
    <w:rsid w:val="00305EB5"/>
    <w:pPr>
      <w:tabs>
        <w:tab w:val="center" w:pos="4513"/>
        <w:tab w:val="right" w:pos="9026"/>
      </w:tabs>
      <w:snapToGrid w:val="0"/>
    </w:pPr>
  </w:style>
  <w:style w:type="character" w:customStyle="1" w:styleId="Char0">
    <w:name w:val="머리글 Char"/>
    <w:basedOn w:val="a0"/>
    <w:link w:val="a4"/>
    <w:uiPriority w:val="99"/>
    <w:rsid w:val="00305EB5"/>
  </w:style>
  <w:style w:type="paragraph" w:styleId="a5">
    <w:name w:val="footer"/>
    <w:basedOn w:val="a"/>
    <w:link w:val="Char1"/>
    <w:uiPriority w:val="99"/>
    <w:unhideWhenUsed/>
    <w:rsid w:val="00305EB5"/>
    <w:pPr>
      <w:tabs>
        <w:tab w:val="center" w:pos="4513"/>
        <w:tab w:val="right" w:pos="9026"/>
      </w:tabs>
      <w:snapToGrid w:val="0"/>
    </w:pPr>
  </w:style>
  <w:style w:type="character" w:customStyle="1" w:styleId="Char1">
    <w:name w:val="바닥글 Char"/>
    <w:basedOn w:val="a0"/>
    <w:link w:val="a5"/>
    <w:uiPriority w:val="99"/>
    <w:rsid w:val="00305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1667</Words>
  <Characters>10069</Characters>
  <Application>Microsoft Office Word</Application>
  <DocSecurity>0</DocSecurity>
  <Lines>170</Lines>
  <Paragraphs>57</Paragraphs>
  <ScaleCrop>false</ScaleCrop>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2</cp:revision>
  <dcterms:created xsi:type="dcterms:W3CDTF">2025-12-12T06:16:00Z</dcterms:created>
  <dcterms:modified xsi:type="dcterms:W3CDTF">2025-12-12T06:16:00Z</dcterms:modified>
</cp:coreProperties>
</file>