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4D055A" w14:textId="6B056563" w:rsidR="000B12B5" w:rsidRDefault="00C322E2" w:rsidP="000C0AD0">
      <w:pPr>
        <w:pStyle w:val="a3"/>
        <w:spacing w:before="600" w:after="600"/>
        <w:jc w:val="center"/>
        <w:rPr>
          <w:lang w:val="en-US"/>
        </w:rPr>
      </w:pPr>
      <w:r>
        <w:rPr>
          <w:lang w:val="en-US"/>
        </w:rPr>
        <w:t>Linearity</w:t>
      </w:r>
      <w:r w:rsidR="000C0AD0">
        <w:rPr>
          <w:lang w:val="en-US"/>
        </w:rPr>
        <w:t xml:space="preserve"> App</w:t>
      </w:r>
    </w:p>
    <w:p w14:paraId="68BB5958" w14:textId="29402099" w:rsidR="000C0AD0" w:rsidRDefault="000C0AD0" w:rsidP="003E54ED">
      <w:pPr>
        <w:pStyle w:val="a5"/>
        <w:spacing w:before="600" w:after="600"/>
        <w:ind w:firstLine="0"/>
        <w:jc w:val="center"/>
        <w:rPr>
          <w:sz w:val="38"/>
          <w:szCs w:val="28"/>
          <w:lang w:val="en-US"/>
        </w:rPr>
      </w:pPr>
      <w:r>
        <w:rPr>
          <w:sz w:val="38"/>
          <w:szCs w:val="28"/>
          <w:lang w:val="en-US"/>
        </w:rPr>
        <w:t xml:space="preserve">User </w:t>
      </w:r>
      <w:r w:rsidRPr="000C0AD0">
        <w:rPr>
          <w:sz w:val="38"/>
          <w:szCs w:val="28"/>
          <w:lang w:val="en-US"/>
        </w:rPr>
        <w:t>Manual</w:t>
      </w:r>
    </w:p>
    <w:p w14:paraId="7F9CE2F8" w14:textId="77777777" w:rsidR="00294D0B" w:rsidRPr="00294D0B" w:rsidRDefault="00294D0B" w:rsidP="00294D0B">
      <w:pPr>
        <w:rPr>
          <w:lang w:val="en-US"/>
        </w:rPr>
      </w:pPr>
    </w:p>
    <w:sdt>
      <w:sdtPr>
        <w:rPr>
          <w:rFonts w:asciiTheme="minorHAnsi" w:eastAsiaTheme="minorHAnsi" w:hAnsiTheme="minorHAnsi" w:cstheme="minorBidi"/>
          <w:b w:val="0"/>
          <w:color w:val="auto"/>
          <w:sz w:val="26"/>
          <w:szCs w:val="22"/>
          <w:lang w:eastAsia="en-US"/>
        </w:rPr>
        <w:id w:val="-952783379"/>
        <w:docPartObj>
          <w:docPartGallery w:val="Table of Contents"/>
          <w:docPartUnique/>
        </w:docPartObj>
      </w:sdtPr>
      <w:sdtEndPr>
        <w:rPr>
          <w:bCs/>
          <w:sz w:val="24"/>
        </w:rPr>
      </w:sdtEndPr>
      <w:sdtContent>
        <w:p w14:paraId="50879578" w14:textId="78883AE3" w:rsidR="009C172B" w:rsidRPr="009C172B" w:rsidRDefault="009C172B" w:rsidP="009C172B">
          <w:pPr>
            <w:pStyle w:val="af2"/>
            <w:jc w:val="center"/>
            <w:rPr>
              <w:color w:val="auto"/>
              <w:lang w:val="en-US"/>
            </w:rPr>
          </w:pPr>
          <w:r w:rsidRPr="009C172B">
            <w:rPr>
              <w:color w:val="auto"/>
              <w:lang w:val="en-US"/>
            </w:rPr>
            <w:t>Table of content</w:t>
          </w:r>
        </w:p>
        <w:p w14:paraId="62FC089C" w14:textId="360D3DB8" w:rsidR="00640A81" w:rsidRDefault="009C172B">
          <w:pPr>
            <w:pStyle w:val="11"/>
            <w:rPr>
              <w:rFonts w:eastAsiaTheme="minorEastAsia"/>
              <w:noProof/>
              <w:kern w:val="2"/>
              <w:szCs w:val="24"/>
              <w:lang w:eastAsia="ru-RU"/>
              <w14:ligatures w14:val="standardContextual"/>
            </w:rPr>
          </w:pPr>
          <w:r>
            <w:fldChar w:fldCharType="begin"/>
          </w:r>
          <w:r>
            <w:instrText xml:space="preserve"> TOC \o "1-3" \h \z \u </w:instrText>
          </w:r>
          <w:r>
            <w:fldChar w:fldCharType="separate"/>
          </w:r>
          <w:hyperlink w:anchor="_Toc191588631" w:history="1">
            <w:r w:rsidR="00640A81" w:rsidRPr="006E35B4">
              <w:rPr>
                <w:rStyle w:val="a8"/>
                <w:noProof/>
                <w:lang w:val="en-US"/>
              </w:rPr>
              <w:t>Introduction</w:t>
            </w:r>
            <w:r w:rsidR="00640A81">
              <w:rPr>
                <w:noProof/>
                <w:webHidden/>
              </w:rPr>
              <w:tab/>
            </w:r>
            <w:r w:rsidR="00640A81">
              <w:rPr>
                <w:noProof/>
                <w:webHidden/>
              </w:rPr>
              <w:fldChar w:fldCharType="begin"/>
            </w:r>
            <w:r w:rsidR="00640A81">
              <w:rPr>
                <w:noProof/>
                <w:webHidden/>
              </w:rPr>
              <w:instrText xml:space="preserve"> PAGEREF _Toc191588631 \h </w:instrText>
            </w:r>
            <w:r w:rsidR="00640A81">
              <w:rPr>
                <w:noProof/>
                <w:webHidden/>
              </w:rPr>
            </w:r>
            <w:r w:rsidR="00640A81">
              <w:rPr>
                <w:noProof/>
                <w:webHidden/>
              </w:rPr>
              <w:fldChar w:fldCharType="separate"/>
            </w:r>
            <w:r w:rsidR="007D2A33">
              <w:rPr>
                <w:noProof/>
                <w:webHidden/>
              </w:rPr>
              <w:t>2</w:t>
            </w:r>
            <w:r w:rsidR="00640A81">
              <w:rPr>
                <w:noProof/>
                <w:webHidden/>
              </w:rPr>
              <w:fldChar w:fldCharType="end"/>
            </w:r>
          </w:hyperlink>
        </w:p>
        <w:p w14:paraId="79E33624" w14:textId="7589722B" w:rsidR="00640A81" w:rsidRDefault="00640A81">
          <w:pPr>
            <w:pStyle w:val="11"/>
            <w:rPr>
              <w:rFonts w:eastAsiaTheme="minorEastAsia"/>
              <w:noProof/>
              <w:kern w:val="2"/>
              <w:szCs w:val="24"/>
              <w:lang w:eastAsia="ru-RU"/>
              <w14:ligatures w14:val="standardContextual"/>
            </w:rPr>
          </w:pPr>
          <w:hyperlink w:anchor="_Toc191588632" w:history="1">
            <w:r w:rsidRPr="006E35B4">
              <w:rPr>
                <w:rStyle w:val="a8"/>
                <w:noProof/>
                <w:lang w:val="en-US"/>
              </w:rPr>
              <w:t>How to use the app</w:t>
            </w:r>
            <w:r>
              <w:rPr>
                <w:noProof/>
                <w:webHidden/>
              </w:rPr>
              <w:tab/>
            </w:r>
            <w:r>
              <w:rPr>
                <w:noProof/>
                <w:webHidden/>
              </w:rPr>
              <w:fldChar w:fldCharType="begin"/>
            </w:r>
            <w:r>
              <w:rPr>
                <w:noProof/>
                <w:webHidden/>
              </w:rPr>
              <w:instrText xml:space="preserve"> PAGEREF _Toc191588632 \h </w:instrText>
            </w:r>
            <w:r>
              <w:rPr>
                <w:noProof/>
                <w:webHidden/>
              </w:rPr>
            </w:r>
            <w:r>
              <w:rPr>
                <w:noProof/>
                <w:webHidden/>
              </w:rPr>
              <w:fldChar w:fldCharType="separate"/>
            </w:r>
            <w:r w:rsidR="007D2A33">
              <w:rPr>
                <w:noProof/>
                <w:webHidden/>
              </w:rPr>
              <w:t>2</w:t>
            </w:r>
            <w:r>
              <w:rPr>
                <w:noProof/>
                <w:webHidden/>
              </w:rPr>
              <w:fldChar w:fldCharType="end"/>
            </w:r>
          </w:hyperlink>
        </w:p>
        <w:p w14:paraId="1CA0EB61" w14:textId="205CAA56" w:rsidR="00640A81" w:rsidRDefault="00640A81">
          <w:pPr>
            <w:pStyle w:val="21"/>
            <w:tabs>
              <w:tab w:val="right" w:leader="dot" w:pos="9345"/>
            </w:tabs>
            <w:rPr>
              <w:rFonts w:eastAsiaTheme="minorEastAsia"/>
              <w:noProof/>
              <w:kern w:val="2"/>
              <w:szCs w:val="24"/>
              <w:lang w:eastAsia="ru-RU"/>
              <w14:ligatures w14:val="standardContextual"/>
            </w:rPr>
          </w:pPr>
          <w:hyperlink w:anchor="_Toc191588633" w:history="1">
            <w:r w:rsidRPr="006E35B4">
              <w:rPr>
                <w:rStyle w:val="a8"/>
                <w:noProof/>
              </w:rPr>
              <w:t>Template Parameters</w:t>
            </w:r>
            <w:r>
              <w:rPr>
                <w:noProof/>
                <w:webHidden/>
              </w:rPr>
              <w:tab/>
            </w:r>
            <w:r>
              <w:rPr>
                <w:noProof/>
                <w:webHidden/>
              </w:rPr>
              <w:fldChar w:fldCharType="begin"/>
            </w:r>
            <w:r>
              <w:rPr>
                <w:noProof/>
                <w:webHidden/>
              </w:rPr>
              <w:instrText xml:space="preserve"> PAGEREF _Toc191588633 \h </w:instrText>
            </w:r>
            <w:r>
              <w:rPr>
                <w:noProof/>
                <w:webHidden/>
              </w:rPr>
            </w:r>
            <w:r>
              <w:rPr>
                <w:noProof/>
                <w:webHidden/>
              </w:rPr>
              <w:fldChar w:fldCharType="separate"/>
            </w:r>
            <w:r w:rsidR="007D2A33">
              <w:rPr>
                <w:noProof/>
                <w:webHidden/>
              </w:rPr>
              <w:t>2</w:t>
            </w:r>
            <w:r>
              <w:rPr>
                <w:noProof/>
                <w:webHidden/>
              </w:rPr>
              <w:fldChar w:fldCharType="end"/>
            </w:r>
          </w:hyperlink>
        </w:p>
        <w:p w14:paraId="6472BC15" w14:textId="6CC6C54B" w:rsidR="00640A81" w:rsidRDefault="00640A81">
          <w:pPr>
            <w:pStyle w:val="21"/>
            <w:tabs>
              <w:tab w:val="right" w:leader="dot" w:pos="9345"/>
            </w:tabs>
            <w:rPr>
              <w:rFonts w:eastAsiaTheme="minorEastAsia"/>
              <w:noProof/>
              <w:kern w:val="2"/>
              <w:szCs w:val="24"/>
              <w:lang w:eastAsia="ru-RU"/>
              <w14:ligatures w14:val="standardContextual"/>
            </w:rPr>
          </w:pPr>
          <w:hyperlink w:anchor="_Toc191588634" w:history="1">
            <w:r w:rsidRPr="006E35B4">
              <w:rPr>
                <w:rStyle w:val="a8"/>
                <w:noProof/>
                <w:lang w:val="en-US"/>
              </w:rPr>
              <w:t>Generating and Saving the Template</w:t>
            </w:r>
            <w:r>
              <w:rPr>
                <w:noProof/>
                <w:webHidden/>
              </w:rPr>
              <w:tab/>
            </w:r>
            <w:r>
              <w:rPr>
                <w:noProof/>
                <w:webHidden/>
              </w:rPr>
              <w:fldChar w:fldCharType="begin"/>
            </w:r>
            <w:r>
              <w:rPr>
                <w:noProof/>
                <w:webHidden/>
              </w:rPr>
              <w:instrText xml:space="preserve"> PAGEREF _Toc191588634 \h </w:instrText>
            </w:r>
            <w:r>
              <w:rPr>
                <w:noProof/>
                <w:webHidden/>
              </w:rPr>
            </w:r>
            <w:r>
              <w:rPr>
                <w:noProof/>
                <w:webHidden/>
              </w:rPr>
              <w:fldChar w:fldCharType="separate"/>
            </w:r>
            <w:r w:rsidR="007D2A33">
              <w:rPr>
                <w:noProof/>
                <w:webHidden/>
              </w:rPr>
              <w:t>2</w:t>
            </w:r>
            <w:r>
              <w:rPr>
                <w:noProof/>
                <w:webHidden/>
              </w:rPr>
              <w:fldChar w:fldCharType="end"/>
            </w:r>
          </w:hyperlink>
        </w:p>
        <w:p w14:paraId="20A65549" w14:textId="296B7DC7" w:rsidR="00640A81" w:rsidRDefault="00640A81">
          <w:pPr>
            <w:pStyle w:val="21"/>
            <w:tabs>
              <w:tab w:val="right" w:leader="dot" w:pos="9345"/>
            </w:tabs>
            <w:rPr>
              <w:rFonts w:eastAsiaTheme="minorEastAsia"/>
              <w:noProof/>
              <w:kern w:val="2"/>
              <w:szCs w:val="24"/>
              <w:lang w:eastAsia="ru-RU"/>
              <w14:ligatures w14:val="standardContextual"/>
            </w:rPr>
          </w:pPr>
          <w:hyperlink w:anchor="_Toc191588635" w:history="1">
            <w:r w:rsidRPr="006E35B4">
              <w:rPr>
                <w:rStyle w:val="a8"/>
                <w:noProof/>
                <w:lang w:val="en-US"/>
              </w:rPr>
              <w:t>CSV Format Options</w:t>
            </w:r>
            <w:r>
              <w:rPr>
                <w:noProof/>
                <w:webHidden/>
              </w:rPr>
              <w:tab/>
            </w:r>
            <w:r>
              <w:rPr>
                <w:noProof/>
                <w:webHidden/>
              </w:rPr>
              <w:fldChar w:fldCharType="begin"/>
            </w:r>
            <w:r>
              <w:rPr>
                <w:noProof/>
                <w:webHidden/>
              </w:rPr>
              <w:instrText xml:space="preserve"> PAGEREF _Toc191588635 \h </w:instrText>
            </w:r>
            <w:r>
              <w:rPr>
                <w:noProof/>
                <w:webHidden/>
              </w:rPr>
            </w:r>
            <w:r>
              <w:rPr>
                <w:noProof/>
                <w:webHidden/>
              </w:rPr>
              <w:fldChar w:fldCharType="separate"/>
            </w:r>
            <w:r w:rsidR="007D2A33">
              <w:rPr>
                <w:noProof/>
                <w:webHidden/>
              </w:rPr>
              <w:t>2</w:t>
            </w:r>
            <w:r>
              <w:rPr>
                <w:noProof/>
                <w:webHidden/>
              </w:rPr>
              <w:fldChar w:fldCharType="end"/>
            </w:r>
          </w:hyperlink>
        </w:p>
        <w:p w14:paraId="28229B53" w14:textId="6F89D065" w:rsidR="00640A81" w:rsidRDefault="00640A81">
          <w:pPr>
            <w:pStyle w:val="21"/>
            <w:tabs>
              <w:tab w:val="right" w:leader="dot" w:pos="9345"/>
            </w:tabs>
            <w:rPr>
              <w:rFonts w:eastAsiaTheme="minorEastAsia"/>
              <w:noProof/>
              <w:kern w:val="2"/>
              <w:szCs w:val="24"/>
              <w:lang w:eastAsia="ru-RU"/>
              <w14:ligatures w14:val="standardContextual"/>
            </w:rPr>
          </w:pPr>
          <w:hyperlink w:anchor="_Toc191588636" w:history="1">
            <w:r w:rsidRPr="006E35B4">
              <w:rPr>
                <w:rStyle w:val="a8"/>
                <w:noProof/>
                <w:lang w:val="en-US"/>
              </w:rPr>
              <w:t>Importing data</w:t>
            </w:r>
            <w:r>
              <w:rPr>
                <w:noProof/>
                <w:webHidden/>
              </w:rPr>
              <w:tab/>
            </w:r>
            <w:r>
              <w:rPr>
                <w:noProof/>
                <w:webHidden/>
              </w:rPr>
              <w:fldChar w:fldCharType="begin"/>
            </w:r>
            <w:r>
              <w:rPr>
                <w:noProof/>
                <w:webHidden/>
              </w:rPr>
              <w:instrText xml:space="preserve"> PAGEREF _Toc191588636 \h </w:instrText>
            </w:r>
            <w:r>
              <w:rPr>
                <w:noProof/>
                <w:webHidden/>
              </w:rPr>
            </w:r>
            <w:r>
              <w:rPr>
                <w:noProof/>
                <w:webHidden/>
              </w:rPr>
              <w:fldChar w:fldCharType="separate"/>
            </w:r>
            <w:r w:rsidR="007D2A33">
              <w:rPr>
                <w:noProof/>
                <w:webHidden/>
              </w:rPr>
              <w:t>3</w:t>
            </w:r>
            <w:r>
              <w:rPr>
                <w:noProof/>
                <w:webHidden/>
              </w:rPr>
              <w:fldChar w:fldCharType="end"/>
            </w:r>
          </w:hyperlink>
        </w:p>
        <w:p w14:paraId="52AD95C5" w14:textId="2368AAAB" w:rsidR="00640A81" w:rsidRDefault="00640A81">
          <w:pPr>
            <w:pStyle w:val="21"/>
            <w:tabs>
              <w:tab w:val="right" w:leader="dot" w:pos="9345"/>
            </w:tabs>
            <w:rPr>
              <w:rFonts w:eastAsiaTheme="minorEastAsia"/>
              <w:noProof/>
              <w:kern w:val="2"/>
              <w:szCs w:val="24"/>
              <w:lang w:eastAsia="ru-RU"/>
              <w14:ligatures w14:val="standardContextual"/>
            </w:rPr>
          </w:pPr>
          <w:hyperlink w:anchor="_Toc191588637" w:history="1">
            <w:r w:rsidRPr="006E35B4">
              <w:rPr>
                <w:rStyle w:val="a8"/>
                <w:noProof/>
                <w:lang w:val="en-US"/>
              </w:rPr>
              <w:t>Standard Curve Analysis</w:t>
            </w:r>
            <w:r>
              <w:rPr>
                <w:noProof/>
                <w:webHidden/>
              </w:rPr>
              <w:tab/>
            </w:r>
            <w:r>
              <w:rPr>
                <w:noProof/>
                <w:webHidden/>
              </w:rPr>
              <w:fldChar w:fldCharType="begin"/>
            </w:r>
            <w:r>
              <w:rPr>
                <w:noProof/>
                <w:webHidden/>
              </w:rPr>
              <w:instrText xml:space="preserve"> PAGEREF _Toc191588637 \h </w:instrText>
            </w:r>
            <w:r>
              <w:rPr>
                <w:noProof/>
                <w:webHidden/>
              </w:rPr>
            </w:r>
            <w:r>
              <w:rPr>
                <w:noProof/>
                <w:webHidden/>
              </w:rPr>
              <w:fldChar w:fldCharType="separate"/>
            </w:r>
            <w:r w:rsidR="007D2A33">
              <w:rPr>
                <w:noProof/>
                <w:webHidden/>
              </w:rPr>
              <w:t>3</w:t>
            </w:r>
            <w:r>
              <w:rPr>
                <w:noProof/>
                <w:webHidden/>
              </w:rPr>
              <w:fldChar w:fldCharType="end"/>
            </w:r>
          </w:hyperlink>
        </w:p>
        <w:p w14:paraId="68577F81" w14:textId="11FFF586" w:rsidR="00640A81" w:rsidRDefault="00640A81">
          <w:pPr>
            <w:pStyle w:val="21"/>
            <w:tabs>
              <w:tab w:val="right" w:leader="dot" w:pos="9345"/>
            </w:tabs>
            <w:rPr>
              <w:rFonts w:eastAsiaTheme="minorEastAsia"/>
              <w:noProof/>
              <w:kern w:val="2"/>
              <w:szCs w:val="24"/>
              <w:lang w:eastAsia="ru-RU"/>
              <w14:ligatures w14:val="standardContextual"/>
            </w:rPr>
          </w:pPr>
          <w:hyperlink w:anchor="_Toc191588638" w:history="1">
            <w:r w:rsidRPr="006E35B4">
              <w:rPr>
                <w:rStyle w:val="a8"/>
                <w:noProof/>
                <w:lang w:val="en-US"/>
              </w:rPr>
              <w:t>Result Table</w:t>
            </w:r>
            <w:r>
              <w:rPr>
                <w:noProof/>
                <w:webHidden/>
              </w:rPr>
              <w:tab/>
            </w:r>
            <w:r>
              <w:rPr>
                <w:noProof/>
                <w:webHidden/>
              </w:rPr>
              <w:fldChar w:fldCharType="begin"/>
            </w:r>
            <w:r>
              <w:rPr>
                <w:noProof/>
                <w:webHidden/>
              </w:rPr>
              <w:instrText xml:space="preserve"> PAGEREF _Toc191588638 \h </w:instrText>
            </w:r>
            <w:r>
              <w:rPr>
                <w:noProof/>
                <w:webHidden/>
              </w:rPr>
            </w:r>
            <w:r>
              <w:rPr>
                <w:noProof/>
                <w:webHidden/>
              </w:rPr>
              <w:fldChar w:fldCharType="separate"/>
            </w:r>
            <w:r w:rsidR="007D2A33">
              <w:rPr>
                <w:noProof/>
                <w:webHidden/>
              </w:rPr>
              <w:t>4</w:t>
            </w:r>
            <w:r>
              <w:rPr>
                <w:noProof/>
                <w:webHidden/>
              </w:rPr>
              <w:fldChar w:fldCharType="end"/>
            </w:r>
          </w:hyperlink>
        </w:p>
        <w:p w14:paraId="7FC36900" w14:textId="38EE3BEC" w:rsidR="00640A81" w:rsidRDefault="00640A81">
          <w:pPr>
            <w:pStyle w:val="21"/>
            <w:tabs>
              <w:tab w:val="right" w:leader="dot" w:pos="9345"/>
            </w:tabs>
            <w:rPr>
              <w:rFonts w:eastAsiaTheme="minorEastAsia"/>
              <w:noProof/>
              <w:kern w:val="2"/>
              <w:szCs w:val="24"/>
              <w:lang w:eastAsia="ru-RU"/>
              <w14:ligatures w14:val="standardContextual"/>
            </w:rPr>
          </w:pPr>
          <w:hyperlink w:anchor="_Toc191588639" w:history="1">
            <w:r w:rsidRPr="006E35B4">
              <w:rPr>
                <w:rStyle w:val="a8"/>
                <w:noProof/>
                <w:lang w:val="en-US"/>
              </w:rPr>
              <w:t>Result Summary</w:t>
            </w:r>
            <w:r>
              <w:rPr>
                <w:noProof/>
                <w:webHidden/>
              </w:rPr>
              <w:tab/>
            </w:r>
            <w:r>
              <w:rPr>
                <w:noProof/>
                <w:webHidden/>
              </w:rPr>
              <w:fldChar w:fldCharType="begin"/>
            </w:r>
            <w:r>
              <w:rPr>
                <w:noProof/>
                <w:webHidden/>
              </w:rPr>
              <w:instrText xml:space="preserve"> PAGEREF _Toc191588639 \h </w:instrText>
            </w:r>
            <w:r>
              <w:rPr>
                <w:noProof/>
                <w:webHidden/>
              </w:rPr>
            </w:r>
            <w:r>
              <w:rPr>
                <w:noProof/>
                <w:webHidden/>
              </w:rPr>
              <w:fldChar w:fldCharType="separate"/>
            </w:r>
            <w:r w:rsidR="007D2A33">
              <w:rPr>
                <w:noProof/>
                <w:webHidden/>
              </w:rPr>
              <w:t>4</w:t>
            </w:r>
            <w:r>
              <w:rPr>
                <w:noProof/>
                <w:webHidden/>
              </w:rPr>
              <w:fldChar w:fldCharType="end"/>
            </w:r>
          </w:hyperlink>
        </w:p>
        <w:p w14:paraId="06A02FD9" w14:textId="39F27F10" w:rsidR="00640A81" w:rsidRDefault="00640A81">
          <w:pPr>
            <w:pStyle w:val="21"/>
            <w:tabs>
              <w:tab w:val="right" w:leader="dot" w:pos="9345"/>
            </w:tabs>
            <w:rPr>
              <w:rFonts w:eastAsiaTheme="minorEastAsia"/>
              <w:noProof/>
              <w:kern w:val="2"/>
              <w:szCs w:val="24"/>
              <w:lang w:eastAsia="ru-RU"/>
              <w14:ligatures w14:val="standardContextual"/>
            </w:rPr>
          </w:pPr>
          <w:hyperlink w:anchor="_Toc191588640" w:history="1">
            <w:r w:rsidRPr="006E35B4">
              <w:rPr>
                <w:rStyle w:val="a8"/>
                <w:noProof/>
                <w:lang w:val="en-US"/>
              </w:rPr>
              <w:t>Report</w:t>
            </w:r>
            <w:r>
              <w:rPr>
                <w:noProof/>
                <w:webHidden/>
              </w:rPr>
              <w:tab/>
            </w:r>
            <w:r>
              <w:rPr>
                <w:noProof/>
                <w:webHidden/>
              </w:rPr>
              <w:fldChar w:fldCharType="begin"/>
            </w:r>
            <w:r>
              <w:rPr>
                <w:noProof/>
                <w:webHidden/>
              </w:rPr>
              <w:instrText xml:space="preserve"> PAGEREF _Toc191588640 \h </w:instrText>
            </w:r>
            <w:r>
              <w:rPr>
                <w:noProof/>
                <w:webHidden/>
              </w:rPr>
            </w:r>
            <w:r>
              <w:rPr>
                <w:noProof/>
                <w:webHidden/>
              </w:rPr>
              <w:fldChar w:fldCharType="separate"/>
            </w:r>
            <w:r w:rsidR="007D2A33">
              <w:rPr>
                <w:noProof/>
                <w:webHidden/>
              </w:rPr>
              <w:t>5</w:t>
            </w:r>
            <w:r>
              <w:rPr>
                <w:noProof/>
                <w:webHidden/>
              </w:rPr>
              <w:fldChar w:fldCharType="end"/>
            </w:r>
          </w:hyperlink>
        </w:p>
        <w:p w14:paraId="4A583B46" w14:textId="7C0728C4" w:rsidR="00640A81" w:rsidRDefault="00640A81">
          <w:pPr>
            <w:pStyle w:val="11"/>
            <w:rPr>
              <w:rFonts w:eastAsiaTheme="minorEastAsia"/>
              <w:noProof/>
              <w:kern w:val="2"/>
              <w:szCs w:val="24"/>
              <w:lang w:eastAsia="ru-RU"/>
              <w14:ligatures w14:val="standardContextual"/>
            </w:rPr>
          </w:pPr>
          <w:hyperlink w:anchor="_Toc191588641" w:history="1">
            <w:r w:rsidRPr="006E35B4">
              <w:rPr>
                <w:rStyle w:val="a8"/>
                <w:noProof/>
                <w:lang w:val="en-US"/>
              </w:rPr>
              <w:t>Sample Data Sets</w:t>
            </w:r>
            <w:r>
              <w:rPr>
                <w:noProof/>
                <w:webHidden/>
              </w:rPr>
              <w:tab/>
            </w:r>
            <w:r>
              <w:rPr>
                <w:noProof/>
                <w:webHidden/>
              </w:rPr>
              <w:fldChar w:fldCharType="begin"/>
            </w:r>
            <w:r>
              <w:rPr>
                <w:noProof/>
                <w:webHidden/>
              </w:rPr>
              <w:instrText xml:space="preserve"> PAGEREF _Toc191588641 \h </w:instrText>
            </w:r>
            <w:r>
              <w:rPr>
                <w:noProof/>
                <w:webHidden/>
              </w:rPr>
            </w:r>
            <w:r>
              <w:rPr>
                <w:noProof/>
                <w:webHidden/>
              </w:rPr>
              <w:fldChar w:fldCharType="separate"/>
            </w:r>
            <w:r w:rsidR="007D2A33">
              <w:rPr>
                <w:noProof/>
                <w:webHidden/>
              </w:rPr>
              <w:t>5</w:t>
            </w:r>
            <w:r>
              <w:rPr>
                <w:noProof/>
                <w:webHidden/>
              </w:rPr>
              <w:fldChar w:fldCharType="end"/>
            </w:r>
          </w:hyperlink>
        </w:p>
        <w:p w14:paraId="35E6C30C" w14:textId="45FACFF1" w:rsidR="00640A81" w:rsidRDefault="00640A81">
          <w:pPr>
            <w:pStyle w:val="21"/>
            <w:tabs>
              <w:tab w:val="right" w:leader="dot" w:pos="9345"/>
            </w:tabs>
            <w:rPr>
              <w:rFonts w:eastAsiaTheme="minorEastAsia"/>
              <w:noProof/>
              <w:kern w:val="2"/>
              <w:szCs w:val="24"/>
              <w:lang w:eastAsia="ru-RU"/>
              <w14:ligatures w14:val="standardContextual"/>
            </w:rPr>
          </w:pPr>
          <w:hyperlink w:anchor="_Toc191588642" w:history="1">
            <w:r w:rsidRPr="006E35B4">
              <w:rPr>
                <w:rStyle w:val="a8"/>
                <w:noProof/>
                <w:lang w:val="en-US"/>
              </w:rPr>
              <w:t>BCA assay</w:t>
            </w:r>
            <w:r>
              <w:rPr>
                <w:noProof/>
                <w:webHidden/>
              </w:rPr>
              <w:tab/>
            </w:r>
            <w:r>
              <w:rPr>
                <w:noProof/>
                <w:webHidden/>
              </w:rPr>
              <w:fldChar w:fldCharType="begin"/>
            </w:r>
            <w:r>
              <w:rPr>
                <w:noProof/>
                <w:webHidden/>
              </w:rPr>
              <w:instrText xml:space="preserve"> PAGEREF _Toc191588642 \h </w:instrText>
            </w:r>
            <w:r>
              <w:rPr>
                <w:noProof/>
                <w:webHidden/>
              </w:rPr>
            </w:r>
            <w:r>
              <w:rPr>
                <w:noProof/>
                <w:webHidden/>
              </w:rPr>
              <w:fldChar w:fldCharType="separate"/>
            </w:r>
            <w:r w:rsidR="007D2A33">
              <w:rPr>
                <w:noProof/>
                <w:webHidden/>
              </w:rPr>
              <w:t>5</w:t>
            </w:r>
            <w:r>
              <w:rPr>
                <w:noProof/>
                <w:webHidden/>
              </w:rPr>
              <w:fldChar w:fldCharType="end"/>
            </w:r>
          </w:hyperlink>
        </w:p>
        <w:p w14:paraId="70D57C4C" w14:textId="4E6EAE94" w:rsidR="00640A81" w:rsidRDefault="00640A81">
          <w:pPr>
            <w:pStyle w:val="21"/>
            <w:tabs>
              <w:tab w:val="right" w:leader="dot" w:pos="9345"/>
            </w:tabs>
            <w:rPr>
              <w:rFonts w:eastAsiaTheme="minorEastAsia"/>
              <w:noProof/>
              <w:kern w:val="2"/>
              <w:szCs w:val="24"/>
              <w:lang w:eastAsia="ru-RU"/>
              <w14:ligatures w14:val="standardContextual"/>
            </w:rPr>
          </w:pPr>
          <w:hyperlink w:anchor="_Toc191588643" w:history="1">
            <w:r w:rsidRPr="006E35B4">
              <w:rPr>
                <w:rStyle w:val="a8"/>
                <w:noProof/>
                <w:lang w:val="en-US"/>
              </w:rPr>
              <w:t>Sandwich ELISA</w:t>
            </w:r>
            <w:r>
              <w:rPr>
                <w:noProof/>
                <w:webHidden/>
              </w:rPr>
              <w:tab/>
            </w:r>
            <w:r>
              <w:rPr>
                <w:noProof/>
                <w:webHidden/>
              </w:rPr>
              <w:fldChar w:fldCharType="begin"/>
            </w:r>
            <w:r>
              <w:rPr>
                <w:noProof/>
                <w:webHidden/>
              </w:rPr>
              <w:instrText xml:space="preserve"> PAGEREF _Toc191588643 \h </w:instrText>
            </w:r>
            <w:r>
              <w:rPr>
                <w:noProof/>
                <w:webHidden/>
              </w:rPr>
            </w:r>
            <w:r>
              <w:rPr>
                <w:noProof/>
                <w:webHidden/>
              </w:rPr>
              <w:fldChar w:fldCharType="separate"/>
            </w:r>
            <w:r w:rsidR="007D2A33">
              <w:rPr>
                <w:noProof/>
                <w:webHidden/>
              </w:rPr>
              <w:t>5</w:t>
            </w:r>
            <w:r>
              <w:rPr>
                <w:noProof/>
                <w:webHidden/>
              </w:rPr>
              <w:fldChar w:fldCharType="end"/>
            </w:r>
          </w:hyperlink>
        </w:p>
        <w:p w14:paraId="490E60C0" w14:textId="4627A1C9" w:rsidR="00640A81" w:rsidRDefault="00640A81">
          <w:pPr>
            <w:pStyle w:val="21"/>
            <w:tabs>
              <w:tab w:val="right" w:leader="dot" w:pos="9345"/>
            </w:tabs>
            <w:rPr>
              <w:rFonts w:eastAsiaTheme="minorEastAsia"/>
              <w:noProof/>
              <w:kern w:val="2"/>
              <w:szCs w:val="24"/>
              <w:lang w:eastAsia="ru-RU"/>
              <w14:ligatures w14:val="standardContextual"/>
            </w:rPr>
          </w:pPr>
          <w:hyperlink w:anchor="_Toc191588644" w:history="1">
            <w:r w:rsidRPr="006E35B4">
              <w:rPr>
                <w:rStyle w:val="a8"/>
                <w:noProof/>
                <w:lang w:val="en-US"/>
              </w:rPr>
              <w:t>Greiss assay</w:t>
            </w:r>
            <w:r>
              <w:rPr>
                <w:noProof/>
                <w:webHidden/>
              </w:rPr>
              <w:tab/>
            </w:r>
            <w:r>
              <w:rPr>
                <w:noProof/>
                <w:webHidden/>
              </w:rPr>
              <w:fldChar w:fldCharType="begin"/>
            </w:r>
            <w:r>
              <w:rPr>
                <w:noProof/>
                <w:webHidden/>
              </w:rPr>
              <w:instrText xml:space="preserve"> PAGEREF _Toc191588644 \h </w:instrText>
            </w:r>
            <w:r>
              <w:rPr>
                <w:noProof/>
                <w:webHidden/>
              </w:rPr>
            </w:r>
            <w:r>
              <w:rPr>
                <w:noProof/>
                <w:webHidden/>
              </w:rPr>
              <w:fldChar w:fldCharType="separate"/>
            </w:r>
            <w:r w:rsidR="007D2A33">
              <w:rPr>
                <w:noProof/>
                <w:webHidden/>
              </w:rPr>
              <w:t>6</w:t>
            </w:r>
            <w:r>
              <w:rPr>
                <w:noProof/>
                <w:webHidden/>
              </w:rPr>
              <w:fldChar w:fldCharType="end"/>
            </w:r>
          </w:hyperlink>
        </w:p>
        <w:p w14:paraId="3CF64ADE" w14:textId="47A28A61" w:rsidR="00164656" w:rsidRPr="00C322E2" w:rsidRDefault="009C172B" w:rsidP="00C322E2">
          <w:pPr>
            <w:ind w:firstLine="0"/>
          </w:pPr>
          <w:r>
            <w:rPr>
              <w:b/>
              <w:bCs/>
            </w:rPr>
            <w:fldChar w:fldCharType="end"/>
          </w:r>
        </w:p>
      </w:sdtContent>
    </w:sdt>
    <w:p w14:paraId="54FA20E9" w14:textId="77777777" w:rsidR="00640A81" w:rsidRDefault="00640A81">
      <w:pPr>
        <w:spacing w:before="0"/>
        <w:ind w:firstLine="0"/>
        <w:jc w:val="left"/>
        <w:rPr>
          <w:rFonts w:asciiTheme="majorHAnsi" w:eastAsiaTheme="majorEastAsia" w:hAnsiTheme="majorHAnsi" w:cstheme="majorBidi"/>
          <w:sz w:val="32"/>
          <w:szCs w:val="32"/>
          <w:lang w:val="en-US"/>
        </w:rPr>
      </w:pPr>
      <w:r>
        <w:rPr>
          <w:lang w:val="en-US"/>
        </w:rPr>
        <w:br w:type="page"/>
      </w:r>
    </w:p>
    <w:p w14:paraId="5A79BC92" w14:textId="285160C5" w:rsidR="000C0AD0" w:rsidRDefault="000C0AD0" w:rsidP="007679AC">
      <w:pPr>
        <w:pStyle w:val="1"/>
        <w:rPr>
          <w:lang w:val="en-US"/>
        </w:rPr>
      </w:pPr>
      <w:bookmarkStart w:id="0" w:name="_Toc191588631"/>
      <w:r>
        <w:rPr>
          <w:lang w:val="en-US"/>
        </w:rPr>
        <w:lastRenderedPageBreak/>
        <w:t>Introduction</w:t>
      </w:r>
      <w:bookmarkEnd w:id="0"/>
    </w:p>
    <w:p w14:paraId="18961754" w14:textId="28102319" w:rsidR="00B26FC9" w:rsidRPr="00B26FC9" w:rsidRDefault="00B26FC9" w:rsidP="005068E0">
      <w:pPr>
        <w:rPr>
          <w:lang w:val="en-US"/>
        </w:rPr>
      </w:pPr>
      <w:r w:rsidRPr="00B26FC9">
        <w:rPr>
          <w:lang w:val="en-US"/>
        </w:rPr>
        <w:t>The Linearity App is designed to calculate analyte concentrations in samples using standard titration data from common laboratory assays such as sandwich enzyme-linked immunosorbent assay (ELISA), bicinchoninic assay (BCA), and Griess assay.</w:t>
      </w:r>
    </w:p>
    <w:p w14:paraId="7C9238D8" w14:textId="0E1F4A88" w:rsidR="00B26FC9" w:rsidRPr="00B26FC9" w:rsidRDefault="00B26FC9" w:rsidP="005068E0">
      <w:pPr>
        <w:rPr>
          <w:lang w:val="en-US"/>
        </w:rPr>
      </w:pPr>
      <w:r w:rsidRPr="00B26FC9">
        <w:rPr>
          <w:lang w:val="en-US"/>
        </w:rPr>
        <w:t>The app processes assay data provided in Excel (.xlsx) or CSV (.csv) format. The input file should include:</w:t>
      </w:r>
    </w:p>
    <w:p w14:paraId="109BAFB5" w14:textId="77777777" w:rsidR="00B26FC9" w:rsidRPr="005068E0" w:rsidRDefault="00B26FC9" w:rsidP="005068E0">
      <w:pPr>
        <w:pStyle w:val="a7"/>
        <w:numPr>
          <w:ilvl w:val="0"/>
          <w:numId w:val="14"/>
        </w:numPr>
        <w:rPr>
          <w:lang w:val="en-US"/>
        </w:rPr>
      </w:pPr>
      <w:r w:rsidRPr="005068E0">
        <w:rPr>
          <w:lang w:val="en-US"/>
        </w:rPr>
        <w:t>Sample descriptions (names and dates)</w:t>
      </w:r>
    </w:p>
    <w:p w14:paraId="3FB06255" w14:textId="77777777" w:rsidR="00B26FC9" w:rsidRPr="005068E0" w:rsidRDefault="00B26FC9" w:rsidP="005068E0">
      <w:pPr>
        <w:pStyle w:val="a7"/>
        <w:numPr>
          <w:ilvl w:val="0"/>
          <w:numId w:val="14"/>
        </w:numPr>
        <w:rPr>
          <w:lang w:val="en-US"/>
        </w:rPr>
      </w:pPr>
      <w:r w:rsidRPr="005068E0">
        <w:rPr>
          <w:lang w:val="en-US"/>
        </w:rPr>
        <w:t>Well types (standard, sample, or negative control)</w:t>
      </w:r>
    </w:p>
    <w:p w14:paraId="6CB93DD4" w14:textId="77777777" w:rsidR="00B26FC9" w:rsidRPr="005068E0" w:rsidRDefault="00B26FC9" w:rsidP="005068E0">
      <w:pPr>
        <w:pStyle w:val="a7"/>
        <w:numPr>
          <w:ilvl w:val="0"/>
          <w:numId w:val="14"/>
        </w:numPr>
        <w:rPr>
          <w:lang w:val="en-US"/>
        </w:rPr>
      </w:pPr>
      <w:r w:rsidRPr="005068E0">
        <w:rPr>
          <w:lang w:val="en-US"/>
        </w:rPr>
        <w:t>Sample dilution factors</w:t>
      </w:r>
    </w:p>
    <w:p w14:paraId="1985DDE3" w14:textId="77777777" w:rsidR="00B26FC9" w:rsidRPr="005068E0" w:rsidRDefault="00B26FC9" w:rsidP="005068E0">
      <w:pPr>
        <w:pStyle w:val="a7"/>
        <w:numPr>
          <w:ilvl w:val="0"/>
          <w:numId w:val="14"/>
        </w:numPr>
        <w:rPr>
          <w:lang w:val="en-US"/>
        </w:rPr>
      </w:pPr>
      <w:r w:rsidRPr="005068E0">
        <w:rPr>
          <w:lang w:val="en-US"/>
        </w:rPr>
        <w:t>Measured optical densities</w:t>
      </w:r>
    </w:p>
    <w:p w14:paraId="2CB0A28D" w14:textId="12285359" w:rsidR="00B26FC9" w:rsidRPr="00B26FC9" w:rsidRDefault="00B26FC9" w:rsidP="005068E0">
      <w:pPr>
        <w:rPr>
          <w:lang w:val="en-US"/>
        </w:rPr>
      </w:pPr>
      <w:r w:rsidRPr="00B26FC9">
        <w:rPr>
          <w:lang w:val="en-US"/>
        </w:rPr>
        <w:t>Using linear regression, the app establishes a mathematical relationship between optical densities and known standard concentrations. This regression is then applied to calculate analyte concentrations in the samples, adjusting for the corresponding dilution factors.</w:t>
      </w:r>
    </w:p>
    <w:p w14:paraId="0F58C063" w14:textId="77777777" w:rsidR="00B26FC9" w:rsidRPr="00B26FC9" w:rsidRDefault="00B26FC9" w:rsidP="005068E0">
      <w:pPr>
        <w:rPr>
          <w:lang w:val="en-US"/>
        </w:rPr>
      </w:pPr>
      <w:r w:rsidRPr="00B26FC9">
        <w:rPr>
          <w:lang w:val="en-US"/>
        </w:rPr>
        <w:t>The final results can be exported as an Excel (.xlsx) or CSV (.csv) file and/or saved as an assay protocol in a Word (.docx) file.</w:t>
      </w:r>
    </w:p>
    <w:p w14:paraId="775323EF" w14:textId="2E5AD3D2" w:rsidR="006B1614" w:rsidRPr="006B1614" w:rsidRDefault="006B1614" w:rsidP="007679AC">
      <w:pPr>
        <w:pStyle w:val="1"/>
        <w:rPr>
          <w:lang w:val="en-US"/>
        </w:rPr>
      </w:pPr>
      <w:bookmarkStart w:id="1" w:name="_Toc191588632"/>
      <w:r>
        <w:rPr>
          <w:lang w:val="en-US"/>
        </w:rPr>
        <w:t xml:space="preserve">How to </w:t>
      </w:r>
      <w:r w:rsidRPr="005068E0">
        <w:rPr>
          <w:lang w:val="en-US"/>
        </w:rPr>
        <w:t>use</w:t>
      </w:r>
      <w:r w:rsidR="008959BC">
        <w:rPr>
          <w:lang w:val="en-US"/>
        </w:rPr>
        <w:t xml:space="preserve"> the app</w:t>
      </w:r>
      <w:bookmarkEnd w:id="1"/>
    </w:p>
    <w:p w14:paraId="4A60970D" w14:textId="79F87B3A" w:rsidR="007679AC" w:rsidRPr="007679AC" w:rsidRDefault="007679AC" w:rsidP="007679AC">
      <w:pPr>
        <w:ind w:firstLine="0"/>
        <w:rPr>
          <w:lang w:val="en-US"/>
        </w:rPr>
      </w:pPr>
      <w:r w:rsidRPr="007679AC">
        <w:rPr>
          <w:lang w:val="en-US"/>
        </w:rPr>
        <w:t>The first step in data processing is preparing a file with raw data. To simplify this process, users can utilize the ‘Make Template’ section in the sidebar.</w:t>
      </w:r>
    </w:p>
    <w:p w14:paraId="768FB8A4" w14:textId="77777777" w:rsidR="007679AC" w:rsidRPr="007679AC" w:rsidRDefault="007679AC" w:rsidP="007679AC">
      <w:pPr>
        <w:pStyle w:val="2"/>
      </w:pPr>
      <w:bookmarkStart w:id="2" w:name="_Toc191588633"/>
      <w:r w:rsidRPr="007679AC">
        <w:t>Template Parameters</w:t>
      </w:r>
      <w:bookmarkEnd w:id="2"/>
    </w:p>
    <w:p w14:paraId="02AB7381" w14:textId="77777777" w:rsidR="007679AC" w:rsidRPr="007679AC" w:rsidRDefault="007679AC" w:rsidP="007679AC">
      <w:pPr>
        <w:pStyle w:val="a7"/>
        <w:numPr>
          <w:ilvl w:val="0"/>
          <w:numId w:val="6"/>
        </w:numPr>
        <w:rPr>
          <w:lang w:val="en-US"/>
        </w:rPr>
      </w:pPr>
      <w:r w:rsidRPr="007679AC">
        <w:rPr>
          <w:b/>
          <w:bCs/>
          <w:lang w:val="en-US"/>
        </w:rPr>
        <w:t>Start:</w:t>
      </w:r>
      <w:r w:rsidRPr="007679AC">
        <w:rPr>
          <w:lang w:val="en-US"/>
        </w:rPr>
        <w:t xml:space="preserve"> The initial concentration of the standard (default: 100).</w:t>
      </w:r>
    </w:p>
    <w:p w14:paraId="067ABC29" w14:textId="77777777" w:rsidR="007679AC" w:rsidRPr="007679AC" w:rsidRDefault="007679AC" w:rsidP="007679AC">
      <w:pPr>
        <w:pStyle w:val="a7"/>
        <w:numPr>
          <w:ilvl w:val="0"/>
          <w:numId w:val="6"/>
        </w:numPr>
        <w:rPr>
          <w:lang w:val="en-US"/>
        </w:rPr>
      </w:pPr>
      <w:r w:rsidRPr="007679AC">
        <w:rPr>
          <w:b/>
          <w:bCs/>
          <w:lang w:val="en-US"/>
        </w:rPr>
        <w:t>Step:</w:t>
      </w:r>
      <w:r w:rsidRPr="007679AC">
        <w:rPr>
          <w:lang w:val="en-US"/>
        </w:rPr>
        <w:t xml:space="preserve"> The dilution factor for titration (default: 2). Using this default setting, the app generates a titration curve with the following concentrations: 100, 50, 25, 12.5, 6.25, 3.13, 1.56.</w:t>
      </w:r>
    </w:p>
    <w:p w14:paraId="2D912F63" w14:textId="77777777" w:rsidR="007679AC" w:rsidRPr="007679AC" w:rsidRDefault="007679AC" w:rsidP="007679AC">
      <w:pPr>
        <w:pStyle w:val="a7"/>
        <w:numPr>
          <w:ilvl w:val="0"/>
          <w:numId w:val="6"/>
        </w:numPr>
        <w:rPr>
          <w:lang w:val="en-US"/>
        </w:rPr>
      </w:pPr>
      <w:r w:rsidRPr="007679AC">
        <w:rPr>
          <w:b/>
          <w:bCs/>
          <w:lang w:val="en-US"/>
        </w:rPr>
        <w:t>Standard columns:</w:t>
      </w:r>
      <w:r w:rsidRPr="007679AC">
        <w:rPr>
          <w:lang w:val="en-US"/>
        </w:rPr>
        <w:t xml:space="preserve"> The number of columns in the plate allocated for standard titration (default: 2).</w:t>
      </w:r>
    </w:p>
    <w:p w14:paraId="35D3C62B" w14:textId="77777777" w:rsidR="007679AC" w:rsidRPr="007679AC" w:rsidRDefault="007679AC" w:rsidP="007679AC">
      <w:pPr>
        <w:pStyle w:val="a7"/>
        <w:numPr>
          <w:ilvl w:val="0"/>
          <w:numId w:val="6"/>
        </w:numPr>
        <w:rPr>
          <w:lang w:val="en-US"/>
        </w:rPr>
      </w:pPr>
      <w:r w:rsidRPr="007679AC">
        <w:rPr>
          <w:b/>
          <w:bCs/>
          <w:lang w:val="en-US"/>
        </w:rPr>
        <w:t>N samples:</w:t>
      </w:r>
      <w:r w:rsidRPr="007679AC">
        <w:rPr>
          <w:lang w:val="en-US"/>
        </w:rPr>
        <w:t xml:space="preserve"> The number of sample entries to be included in the template file (default: 10).</w:t>
      </w:r>
    </w:p>
    <w:p w14:paraId="186628B7" w14:textId="77777777" w:rsidR="007679AC" w:rsidRPr="007679AC" w:rsidRDefault="007679AC" w:rsidP="007679AC">
      <w:pPr>
        <w:pStyle w:val="2"/>
        <w:rPr>
          <w:lang w:val="en-US"/>
        </w:rPr>
      </w:pPr>
      <w:bookmarkStart w:id="3" w:name="_Toc191588634"/>
      <w:r w:rsidRPr="007679AC">
        <w:rPr>
          <w:lang w:val="en-US"/>
        </w:rPr>
        <w:t>Generating and Saving the Template</w:t>
      </w:r>
      <w:bookmarkEnd w:id="3"/>
    </w:p>
    <w:p w14:paraId="5D12E606" w14:textId="171EE66B" w:rsidR="007679AC" w:rsidRPr="007679AC" w:rsidRDefault="007679AC" w:rsidP="007679AC">
      <w:pPr>
        <w:rPr>
          <w:lang w:val="en-US"/>
        </w:rPr>
      </w:pPr>
      <w:r w:rsidRPr="007679AC">
        <w:rPr>
          <w:lang w:val="en-US"/>
        </w:rPr>
        <w:t>Once the parameters are set, users can generate and download the template file by clicking the ‘Download Template’ button. The file can be saved in either Excel (.xlsx) or CSV (.csv) format, with the preferred format selected via the ‘File type’ widget.</w:t>
      </w:r>
    </w:p>
    <w:p w14:paraId="390F50A4" w14:textId="77777777" w:rsidR="007679AC" w:rsidRPr="007679AC" w:rsidRDefault="007679AC" w:rsidP="007679AC">
      <w:pPr>
        <w:pStyle w:val="2"/>
        <w:rPr>
          <w:lang w:val="en-US"/>
        </w:rPr>
      </w:pPr>
      <w:bookmarkStart w:id="4" w:name="_Toc191588635"/>
      <w:r w:rsidRPr="007679AC">
        <w:rPr>
          <w:lang w:val="en-US"/>
        </w:rPr>
        <w:t>CSV Format Options</w:t>
      </w:r>
      <w:bookmarkEnd w:id="4"/>
    </w:p>
    <w:p w14:paraId="51CDF9F9" w14:textId="177A66E6" w:rsidR="007679AC" w:rsidRPr="007679AC" w:rsidRDefault="007679AC" w:rsidP="007679AC">
      <w:pPr>
        <w:ind w:firstLine="0"/>
        <w:rPr>
          <w:lang w:val="en-US"/>
        </w:rPr>
      </w:pPr>
      <w:r w:rsidRPr="007679AC">
        <w:rPr>
          <w:lang w:val="en-US"/>
        </w:rPr>
        <w:t>The app supports two CSV dialects:</w:t>
      </w:r>
    </w:p>
    <w:p w14:paraId="65FBA0CB" w14:textId="77777777" w:rsidR="007679AC" w:rsidRPr="007679AC" w:rsidRDefault="007679AC" w:rsidP="007679AC">
      <w:pPr>
        <w:pStyle w:val="a7"/>
        <w:numPr>
          <w:ilvl w:val="0"/>
          <w:numId w:val="9"/>
        </w:numPr>
        <w:rPr>
          <w:lang w:val="en-US"/>
        </w:rPr>
      </w:pPr>
      <w:r w:rsidRPr="007679AC">
        <w:rPr>
          <w:lang w:val="en-US"/>
        </w:rPr>
        <w:t>Comma-separated files (CSV, ",") – Uses a dot (.) as the decimal separator.</w:t>
      </w:r>
    </w:p>
    <w:p w14:paraId="015475B3" w14:textId="77777777" w:rsidR="007679AC" w:rsidRPr="007679AC" w:rsidRDefault="007679AC" w:rsidP="007679AC">
      <w:pPr>
        <w:pStyle w:val="a7"/>
        <w:numPr>
          <w:ilvl w:val="0"/>
          <w:numId w:val="9"/>
        </w:numPr>
        <w:rPr>
          <w:lang w:val="en-US"/>
        </w:rPr>
      </w:pPr>
      <w:r w:rsidRPr="007679AC">
        <w:rPr>
          <w:lang w:val="en-US"/>
        </w:rPr>
        <w:t>Semicolon-separated files (CSV, ";") – Uses a comma (,) as the decimal separator.</w:t>
      </w:r>
    </w:p>
    <w:p w14:paraId="042595C4" w14:textId="2034015C" w:rsidR="00F17378" w:rsidRDefault="007679AC" w:rsidP="007679AC">
      <w:pPr>
        <w:ind w:firstLine="0"/>
        <w:rPr>
          <w:lang w:val="en-US"/>
        </w:rPr>
      </w:pPr>
      <w:r w:rsidRPr="007679AC">
        <w:rPr>
          <w:lang w:val="en-US"/>
        </w:rPr>
        <w:t>The preferred format can be specified in the ‘Sep’ field.</w:t>
      </w:r>
    </w:p>
    <w:p w14:paraId="341DFFF0" w14:textId="13F19DF3" w:rsidR="007679AC" w:rsidRDefault="007679AC" w:rsidP="007679AC">
      <w:pPr>
        <w:pStyle w:val="2"/>
        <w:rPr>
          <w:lang w:val="en-US"/>
        </w:rPr>
      </w:pPr>
      <w:bookmarkStart w:id="5" w:name="_Toc191588636"/>
      <w:r>
        <w:rPr>
          <w:lang w:val="en-US"/>
        </w:rPr>
        <w:lastRenderedPageBreak/>
        <w:t>Importing data</w:t>
      </w:r>
      <w:bookmarkEnd w:id="5"/>
    </w:p>
    <w:p w14:paraId="3648D7EF" w14:textId="77777777" w:rsidR="00B822C1" w:rsidRDefault="00B822C1" w:rsidP="00B822C1">
      <w:pPr>
        <w:rPr>
          <w:lang w:val="en-US"/>
        </w:rPr>
      </w:pPr>
      <w:r w:rsidRPr="00B822C1">
        <w:rPr>
          <w:lang w:val="en-US"/>
        </w:rPr>
        <w:t>To begin data analysis, open the saved template file in Excel or another spreadsheet program and enter the necessary information.</w:t>
      </w:r>
    </w:p>
    <w:p w14:paraId="30DD2E9F" w14:textId="14BB7FC1" w:rsidR="00B822C1" w:rsidRPr="00B822C1" w:rsidRDefault="00B822C1" w:rsidP="00B822C1">
      <w:pPr>
        <w:pStyle w:val="a7"/>
        <w:numPr>
          <w:ilvl w:val="0"/>
          <w:numId w:val="12"/>
        </w:numPr>
        <w:rPr>
          <w:lang w:val="en-US"/>
        </w:rPr>
      </w:pPr>
      <w:r w:rsidRPr="00B822C1">
        <w:rPr>
          <w:lang w:val="en-US"/>
        </w:rPr>
        <w:t xml:space="preserve">Fill </w:t>
      </w:r>
      <w:r>
        <w:rPr>
          <w:lang w:val="en-US"/>
        </w:rPr>
        <w:t>s</w:t>
      </w:r>
      <w:r w:rsidRPr="00B822C1">
        <w:rPr>
          <w:lang w:val="en-US"/>
        </w:rPr>
        <w:t xml:space="preserve">ample </w:t>
      </w:r>
      <w:r>
        <w:rPr>
          <w:lang w:val="en-US"/>
        </w:rPr>
        <w:t>n</w:t>
      </w:r>
      <w:r w:rsidRPr="00B822C1">
        <w:rPr>
          <w:lang w:val="en-US"/>
        </w:rPr>
        <w:t xml:space="preserve">ames and </w:t>
      </w:r>
      <w:r>
        <w:rPr>
          <w:lang w:val="en-US"/>
        </w:rPr>
        <w:t>d</w:t>
      </w:r>
      <w:r w:rsidRPr="00B822C1">
        <w:rPr>
          <w:lang w:val="en-US"/>
        </w:rPr>
        <w:t>ates</w:t>
      </w:r>
      <w:r>
        <w:rPr>
          <w:lang w:val="en-US"/>
        </w:rPr>
        <w:t xml:space="preserve">. </w:t>
      </w:r>
      <w:r w:rsidRPr="00B822C1">
        <w:rPr>
          <w:lang w:val="en-US"/>
        </w:rPr>
        <w:t>Enter sample names and dates in the corresponding columns. These should be added in rows where the "type" column is labeled as "sample".</w:t>
      </w:r>
    </w:p>
    <w:p w14:paraId="0197148B" w14:textId="216B5E11" w:rsidR="00B822C1" w:rsidRPr="00C635BA" w:rsidRDefault="00B822C1" w:rsidP="004557DC">
      <w:pPr>
        <w:pStyle w:val="a7"/>
        <w:numPr>
          <w:ilvl w:val="0"/>
          <w:numId w:val="12"/>
        </w:numPr>
        <w:rPr>
          <w:lang w:val="en-US"/>
        </w:rPr>
      </w:pPr>
      <w:r w:rsidRPr="00C635BA">
        <w:rPr>
          <w:lang w:val="en-US"/>
        </w:rPr>
        <w:t>Modifying the Type Column if needed. The "type" column can be adjusted as needed; the order of standard, negative control (NC), and sample wells does not affect calculations. Additional wells can be added if necessary, but the "type" column must contain only one of the following values:</w:t>
      </w:r>
      <w:r w:rsidR="00C635BA" w:rsidRPr="00C635BA">
        <w:rPr>
          <w:lang w:val="en-US"/>
        </w:rPr>
        <w:t xml:space="preserve"> </w:t>
      </w:r>
      <w:r w:rsidRPr="00C635BA">
        <w:rPr>
          <w:lang w:val="en-US"/>
        </w:rPr>
        <w:t>"standard"</w:t>
      </w:r>
      <w:r w:rsidR="00C635BA" w:rsidRPr="00C635BA">
        <w:rPr>
          <w:lang w:val="en-US"/>
        </w:rPr>
        <w:t xml:space="preserve">, </w:t>
      </w:r>
      <w:r w:rsidRPr="00C635BA">
        <w:rPr>
          <w:lang w:val="en-US"/>
        </w:rPr>
        <w:t>"NC"</w:t>
      </w:r>
      <w:r w:rsidR="00C635BA">
        <w:rPr>
          <w:lang w:val="en-US"/>
        </w:rPr>
        <w:t>,</w:t>
      </w:r>
      <w:r w:rsidR="00C635BA" w:rsidRPr="00C635BA">
        <w:rPr>
          <w:lang w:val="en-US"/>
        </w:rPr>
        <w:t xml:space="preserve"> </w:t>
      </w:r>
      <w:r w:rsidRPr="00C635BA">
        <w:rPr>
          <w:lang w:val="en-US"/>
        </w:rPr>
        <w:t>"sample"</w:t>
      </w:r>
      <w:r w:rsidR="00C635BA">
        <w:rPr>
          <w:lang w:val="en-US"/>
        </w:rPr>
        <w:t>.</w:t>
      </w:r>
    </w:p>
    <w:p w14:paraId="45B83551" w14:textId="77777777" w:rsidR="00C635BA" w:rsidRDefault="00C635BA" w:rsidP="00C635BA">
      <w:pPr>
        <w:pStyle w:val="a7"/>
        <w:numPr>
          <w:ilvl w:val="0"/>
          <w:numId w:val="12"/>
        </w:numPr>
        <w:rPr>
          <w:lang w:val="en-US"/>
        </w:rPr>
      </w:pPr>
      <w:r w:rsidRPr="00C635BA">
        <w:rPr>
          <w:lang w:val="en-US"/>
        </w:rPr>
        <w:t>Fill d</w:t>
      </w:r>
      <w:r w:rsidR="00B822C1" w:rsidRPr="00C635BA">
        <w:rPr>
          <w:lang w:val="en-US"/>
        </w:rPr>
        <w:t xml:space="preserve">ilution </w:t>
      </w:r>
      <w:r w:rsidRPr="00C635BA">
        <w:rPr>
          <w:lang w:val="en-US"/>
        </w:rPr>
        <w:t>f</w:t>
      </w:r>
      <w:r w:rsidR="00B822C1" w:rsidRPr="00C635BA">
        <w:rPr>
          <w:lang w:val="en-US"/>
        </w:rPr>
        <w:t>actors</w:t>
      </w:r>
      <w:r w:rsidRPr="00C635BA">
        <w:rPr>
          <w:lang w:val="en-US"/>
        </w:rPr>
        <w:t xml:space="preserve">. </w:t>
      </w:r>
      <w:r w:rsidR="00B822C1" w:rsidRPr="00C635BA">
        <w:rPr>
          <w:lang w:val="en-US"/>
        </w:rPr>
        <w:t>Enter the dilution factors for each sample in the "dilution" column.</w:t>
      </w:r>
      <w:r>
        <w:rPr>
          <w:lang w:val="en-US"/>
        </w:rPr>
        <w:t xml:space="preserve"> </w:t>
      </w:r>
      <w:r w:rsidR="00B822C1" w:rsidRPr="00C635BA">
        <w:rPr>
          <w:lang w:val="en-US"/>
        </w:rPr>
        <w:t>Every sample must have a corresponding dilution value.</w:t>
      </w:r>
    </w:p>
    <w:p w14:paraId="6B377757" w14:textId="46CAD2B8" w:rsidR="00B822C1" w:rsidRDefault="00B822C1" w:rsidP="00B9741A">
      <w:pPr>
        <w:pStyle w:val="a7"/>
        <w:numPr>
          <w:ilvl w:val="0"/>
          <w:numId w:val="12"/>
        </w:numPr>
        <w:rPr>
          <w:lang w:val="en-US"/>
        </w:rPr>
      </w:pPr>
      <w:r w:rsidRPr="00C635BA">
        <w:rPr>
          <w:lang w:val="en-US"/>
        </w:rPr>
        <w:t>Copy Optical Density (OD) Values</w:t>
      </w:r>
      <w:r w:rsidR="00C635BA" w:rsidRPr="00C635BA">
        <w:rPr>
          <w:lang w:val="en-US"/>
        </w:rPr>
        <w:t xml:space="preserve">. </w:t>
      </w:r>
      <w:r w:rsidRPr="00C635BA">
        <w:rPr>
          <w:lang w:val="en-US"/>
        </w:rPr>
        <w:t>Copy the measured OD values into the "OD" column.</w:t>
      </w:r>
      <w:r w:rsidR="00C635BA">
        <w:rPr>
          <w:lang w:val="en-US"/>
        </w:rPr>
        <w:t xml:space="preserve"> </w:t>
      </w:r>
      <w:r w:rsidRPr="00C635BA">
        <w:rPr>
          <w:lang w:val="en-US"/>
        </w:rPr>
        <w:t>Overscale values or excluded wells should be replaced with "NA".</w:t>
      </w:r>
    </w:p>
    <w:p w14:paraId="5796DB9B" w14:textId="5173B9C6" w:rsidR="00C635BA" w:rsidRDefault="00C635BA" w:rsidP="00B9741A">
      <w:pPr>
        <w:pStyle w:val="a7"/>
        <w:numPr>
          <w:ilvl w:val="0"/>
          <w:numId w:val="12"/>
        </w:numPr>
        <w:rPr>
          <w:lang w:val="en-US"/>
        </w:rPr>
      </w:pPr>
      <w:r w:rsidRPr="00B822C1">
        <w:rPr>
          <w:lang w:val="en-US"/>
        </w:rPr>
        <w:t>Additional columns can be included in the file, but they will not affect concentration calculations. However, they may be useful for data aggregation later</w:t>
      </w:r>
    </w:p>
    <w:p w14:paraId="7A383CF5" w14:textId="23B0D4EE" w:rsidR="00C635BA" w:rsidRPr="00C635BA" w:rsidRDefault="00C635BA" w:rsidP="00B9741A">
      <w:pPr>
        <w:pStyle w:val="a7"/>
        <w:numPr>
          <w:ilvl w:val="0"/>
          <w:numId w:val="12"/>
        </w:numPr>
        <w:rPr>
          <w:lang w:val="en-US"/>
        </w:rPr>
      </w:pPr>
      <w:r w:rsidRPr="00B822C1">
        <w:rPr>
          <w:lang w:val="en-US"/>
        </w:rPr>
        <w:t>Once all modifications are made, save the file before proceeding</w:t>
      </w:r>
      <w:r>
        <w:rPr>
          <w:lang w:val="en-US"/>
        </w:rPr>
        <w:t>.</w:t>
      </w:r>
    </w:p>
    <w:p w14:paraId="6E420CFD" w14:textId="513A0D3A" w:rsidR="00C635BA" w:rsidRDefault="00C635BA" w:rsidP="00C635BA">
      <w:pPr>
        <w:rPr>
          <w:lang w:val="en-US"/>
        </w:rPr>
      </w:pPr>
      <w:r w:rsidRPr="00C635BA">
        <w:rPr>
          <w:lang w:val="en-US"/>
        </w:rPr>
        <w:t>Open the Linearity App window.</w:t>
      </w:r>
      <w:r>
        <w:rPr>
          <w:lang w:val="en-US"/>
        </w:rPr>
        <w:t xml:space="preserve"> </w:t>
      </w:r>
      <w:r w:rsidRPr="00C635BA">
        <w:rPr>
          <w:lang w:val="en-US"/>
        </w:rPr>
        <w:t>Click the "Browse" button in the "Import Data" section of the sidebar.</w:t>
      </w:r>
      <w:r>
        <w:rPr>
          <w:lang w:val="en-US"/>
        </w:rPr>
        <w:t xml:space="preserve"> </w:t>
      </w:r>
      <w:r w:rsidRPr="00B822C1">
        <w:rPr>
          <w:lang w:val="en-US"/>
        </w:rPr>
        <w:t>The app will validate the file before processing, ensuring the following conditions are met</w:t>
      </w:r>
      <w:r w:rsidRPr="00C635BA">
        <w:rPr>
          <w:lang w:val="en-US"/>
        </w:rPr>
        <w:t>:</w:t>
      </w:r>
    </w:p>
    <w:p w14:paraId="3A47B791" w14:textId="69E4168D" w:rsidR="00B822C1" w:rsidRDefault="00B822C1" w:rsidP="00045F73">
      <w:pPr>
        <w:pStyle w:val="a7"/>
        <w:numPr>
          <w:ilvl w:val="0"/>
          <w:numId w:val="13"/>
        </w:numPr>
        <w:ind w:left="1134"/>
        <w:rPr>
          <w:lang w:val="en-US"/>
        </w:rPr>
      </w:pPr>
      <w:r w:rsidRPr="00C635BA">
        <w:rPr>
          <w:lang w:val="en-US"/>
        </w:rPr>
        <w:t>The six specified columns ("type", "sample name", "date", "dilution", "conc", and "OD") are mandatory.</w:t>
      </w:r>
    </w:p>
    <w:p w14:paraId="465BD9FB" w14:textId="5F3EE866" w:rsidR="00045F73" w:rsidRDefault="00045F73" w:rsidP="00045F73">
      <w:pPr>
        <w:pStyle w:val="a7"/>
        <w:numPr>
          <w:ilvl w:val="0"/>
          <w:numId w:val="13"/>
        </w:numPr>
        <w:ind w:left="1134"/>
        <w:rPr>
          <w:lang w:val="en-US"/>
        </w:rPr>
      </w:pPr>
      <w:r w:rsidRPr="00045F73">
        <w:rPr>
          <w:lang w:val="en-US"/>
        </w:rPr>
        <w:t>The "dilution", "conc", and "OD" columns contain only numeric values.</w:t>
      </w:r>
    </w:p>
    <w:p w14:paraId="032650A2" w14:textId="77777777" w:rsidR="00045F73" w:rsidRPr="00045F73" w:rsidRDefault="00045F73" w:rsidP="00045F73">
      <w:pPr>
        <w:pStyle w:val="a7"/>
        <w:numPr>
          <w:ilvl w:val="0"/>
          <w:numId w:val="13"/>
        </w:numPr>
        <w:ind w:left="1134"/>
        <w:rPr>
          <w:lang w:val="en-US"/>
        </w:rPr>
      </w:pPr>
      <w:r w:rsidRPr="00045F73">
        <w:rPr>
          <w:lang w:val="en-US"/>
        </w:rPr>
        <w:t>The "type" column contains only "standard", "NC", or "sample", with no missing values.</w:t>
      </w:r>
    </w:p>
    <w:p w14:paraId="6FEFF785" w14:textId="77777777" w:rsidR="00045F73" w:rsidRPr="00045F73" w:rsidRDefault="00045F73" w:rsidP="00045F73">
      <w:pPr>
        <w:pStyle w:val="a7"/>
        <w:numPr>
          <w:ilvl w:val="0"/>
          <w:numId w:val="13"/>
        </w:numPr>
        <w:ind w:left="1134"/>
        <w:rPr>
          <w:lang w:val="en-US"/>
        </w:rPr>
      </w:pPr>
      <w:r w:rsidRPr="00045F73">
        <w:rPr>
          <w:lang w:val="en-US"/>
        </w:rPr>
        <w:t>Every sample row has a valid, non-missing, positive dilution factor.</w:t>
      </w:r>
    </w:p>
    <w:p w14:paraId="747E5515" w14:textId="63F79905" w:rsidR="00045F73" w:rsidRDefault="00045F73" w:rsidP="00045F73">
      <w:pPr>
        <w:pStyle w:val="a7"/>
        <w:numPr>
          <w:ilvl w:val="0"/>
          <w:numId w:val="13"/>
        </w:numPr>
        <w:ind w:left="1134"/>
        <w:rPr>
          <w:lang w:val="en-US"/>
        </w:rPr>
      </w:pPr>
      <w:r w:rsidRPr="00045F73">
        <w:rPr>
          <w:lang w:val="en-US"/>
        </w:rPr>
        <w:t>At least four standard wells are included to ensure reliable standard curve fitting.</w:t>
      </w:r>
    </w:p>
    <w:p w14:paraId="4E458B4C" w14:textId="4771C2AC" w:rsidR="00045F73" w:rsidRDefault="00045F73" w:rsidP="00045F73">
      <w:pPr>
        <w:rPr>
          <w:lang w:val="en-US"/>
        </w:rPr>
      </w:pPr>
      <w:r w:rsidRPr="00045F73">
        <w:rPr>
          <w:lang w:val="en-US"/>
        </w:rPr>
        <w:t>If the file passes validation, a data table will appear in the main panel, allowing users to review and analyze the imported data.</w:t>
      </w:r>
    </w:p>
    <w:p w14:paraId="0F8A14DB" w14:textId="0765F1C8" w:rsidR="005068E0" w:rsidRDefault="005068E0" w:rsidP="005068E0">
      <w:pPr>
        <w:pStyle w:val="2"/>
        <w:rPr>
          <w:lang w:val="en-US"/>
        </w:rPr>
      </w:pPr>
      <w:bookmarkStart w:id="6" w:name="_Toc191588637"/>
      <w:r>
        <w:rPr>
          <w:lang w:val="en-US"/>
        </w:rPr>
        <w:t xml:space="preserve">Standard </w:t>
      </w:r>
      <w:r w:rsidR="001760E9">
        <w:rPr>
          <w:lang w:val="en-US"/>
        </w:rPr>
        <w:t>Curve Analysis</w:t>
      </w:r>
      <w:bookmarkEnd w:id="6"/>
    </w:p>
    <w:p w14:paraId="22605521" w14:textId="2FD69065" w:rsidR="001760E9" w:rsidRPr="001760E9" w:rsidRDefault="001760E9" w:rsidP="001760E9">
      <w:pPr>
        <w:rPr>
          <w:lang w:val="en-US"/>
        </w:rPr>
      </w:pPr>
      <w:r w:rsidRPr="001760E9">
        <w:rPr>
          <w:lang w:val="en-US"/>
        </w:rPr>
        <w:t>To proceed with data analysis, navigate to the “Standard Curve” tab. This section provides graphical representations of the standard titration and model fitting accuracy.</w:t>
      </w:r>
    </w:p>
    <w:p w14:paraId="240AA2C4" w14:textId="556E2EDC" w:rsidR="001760E9" w:rsidRPr="001760E9" w:rsidRDefault="001760E9" w:rsidP="001760E9">
      <w:pPr>
        <w:rPr>
          <w:lang w:val="en-US"/>
        </w:rPr>
      </w:pPr>
      <w:r w:rsidRPr="001760E9">
        <w:rPr>
          <w:lang w:val="en-US"/>
        </w:rPr>
        <w:t>The main panel displays two plots:</w:t>
      </w:r>
    </w:p>
    <w:p w14:paraId="3C3F7EAF" w14:textId="661C40DA" w:rsidR="001760E9" w:rsidRPr="001760E9" w:rsidRDefault="001760E9" w:rsidP="001760E9">
      <w:pPr>
        <w:pStyle w:val="a7"/>
        <w:numPr>
          <w:ilvl w:val="0"/>
          <w:numId w:val="15"/>
        </w:numPr>
        <w:rPr>
          <w:lang w:val="en-US"/>
        </w:rPr>
      </w:pPr>
      <w:r w:rsidRPr="001760E9">
        <w:rPr>
          <w:lang w:val="en-US"/>
        </w:rPr>
        <w:t>Standard Curve (Left Plot)</w:t>
      </w:r>
    </w:p>
    <w:p w14:paraId="6AEBDFA1" w14:textId="77777777" w:rsidR="001760E9" w:rsidRPr="001760E9" w:rsidRDefault="001760E9" w:rsidP="001760E9">
      <w:pPr>
        <w:pStyle w:val="a7"/>
        <w:numPr>
          <w:ilvl w:val="0"/>
          <w:numId w:val="16"/>
        </w:numPr>
        <w:rPr>
          <w:lang w:val="en-US"/>
        </w:rPr>
      </w:pPr>
      <w:r w:rsidRPr="001760E9">
        <w:rPr>
          <w:lang w:val="en-US"/>
        </w:rPr>
        <w:t>Shows the fitted regression line applied to the standard titration data.</w:t>
      </w:r>
    </w:p>
    <w:p w14:paraId="75EF1E71" w14:textId="77777777" w:rsidR="001760E9" w:rsidRPr="001760E9" w:rsidRDefault="001760E9" w:rsidP="001760E9">
      <w:pPr>
        <w:pStyle w:val="a7"/>
        <w:numPr>
          <w:ilvl w:val="0"/>
          <w:numId w:val="16"/>
        </w:numPr>
        <w:rPr>
          <w:lang w:val="en-US"/>
        </w:rPr>
      </w:pPr>
      <w:r w:rsidRPr="001760E9">
        <w:rPr>
          <w:lang w:val="en-US"/>
        </w:rPr>
        <w:t>Provides a general visualization of the relationship between optical density (OD) and analyte concentration.</w:t>
      </w:r>
    </w:p>
    <w:p w14:paraId="6AC22B72" w14:textId="3F56CDBD" w:rsidR="001760E9" w:rsidRPr="001760E9" w:rsidRDefault="001760E9" w:rsidP="001760E9">
      <w:pPr>
        <w:pStyle w:val="a7"/>
        <w:numPr>
          <w:ilvl w:val="0"/>
          <w:numId w:val="15"/>
        </w:numPr>
        <w:rPr>
          <w:lang w:val="en-US"/>
        </w:rPr>
      </w:pPr>
      <w:r w:rsidRPr="001760E9">
        <w:rPr>
          <w:lang w:val="en-US"/>
        </w:rPr>
        <w:t>Residuals Plot (Right Plot)</w:t>
      </w:r>
    </w:p>
    <w:p w14:paraId="360991B3" w14:textId="77777777" w:rsidR="001760E9" w:rsidRPr="001760E9" w:rsidRDefault="001760E9" w:rsidP="001760E9">
      <w:pPr>
        <w:pStyle w:val="a7"/>
        <w:numPr>
          <w:ilvl w:val="0"/>
          <w:numId w:val="17"/>
        </w:numPr>
        <w:rPr>
          <w:lang w:val="en-US"/>
        </w:rPr>
      </w:pPr>
      <w:r w:rsidRPr="001760E9">
        <w:rPr>
          <w:lang w:val="en-US"/>
        </w:rPr>
        <w:t>Displays fitted values vs. residuals, helping assess the accuracy of the model.</w:t>
      </w:r>
    </w:p>
    <w:p w14:paraId="28275F57" w14:textId="77777777" w:rsidR="001760E9" w:rsidRPr="001760E9" w:rsidRDefault="001760E9" w:rsidP="001760E9">
      <w:pPr>
        <w:pStyle w:val="a7"/>
        <w:numPr>
          <w:ilvl w:val="0"/>
          <w:numId w:val="17"/>
        </w:numPr>
        <w:rPr>
          <w:lang w:val="en-US"/>
        </w:rPr>
      </w:pPr>
      <w:r w:rsidRPr="001760E9">
        <w:rPr>
          <w:lang w:val="en-US"/>
        </w:rPr>
        <w:lastRenderedPageBreak/>
        <w:t>Highlights potential patterns in residuals, which could indicate systematic errors in the regression fit.</w:t>
      </w:r>
    </w:p>
    <w:p w14:paraId="47E44BBD" w14:textId="0913ADC7" w:rsidR="001760E9" w:rsidRPr="001760E9" w:rsidRDefault="001760E9" w:rsidP="001760E9">
      <w:pPr>
        <w:rPr>
          <w:lang w:val="en-US"/>
        </w:rPr>
      </w:pPr>
      <w:r w:rsidRPr="001760E9">
        <w:rPr>
          <w:lang w:val="en-US"/>
        </w:rPr>
        <w:t>The Linearity App supports two types of regression models for describing the relationship between analyte concentrations and optical density values:</w:t>
      </w:r>
    </w:p>
    <w:p w14:paraId="1C3A68E1" w14:textId="77777777" w:rsidR="001760E9" w:rsidRPr="001760E9" w:rsidRDefault="001760E9" w:rsidP="001760E9">
      <w:pPr>
        <w:pStyle w:val="a7"/>
        <w:numPr>
          <w:ilvl w:val="0"/>
          <w:numId w:val="18"/>
        </w:numPr>
        <w:rPr>
          <w:lang w:val="en-US"/>
        </w:rPr>
      </w:pPr>
      <w:r w:rsidRPr="001760E9">
        <w:rPr>
          <w:lang w:val="en-US"/>
        </w:rPr>
        <w:t>Linear Regression (y ~ bx + c)</w:t>
      </w:r>
    </w:p>
    <w:p w14:paraId="75492048" w14:textId="3BF620BB" w:rsidR="001760E9" w:rsidRPr="001760E9" w:rsidRDefault="001760E9" w:rsidP="001760E9">
      <w:pPr>
        <w:rPr>
          <w:lang w:val="en-US"/>
        </w:rPr>
      </w:pPr>
      <w:r w:rsidRPr="001760E9">
        <w:rPr>
          <w:lang w:val="en-US"/>
        </w:rPr>
        <w:t>Can be fitted using</w:t>
      </w:r>
      <w:r>
        <w:rPr>
          <w:lang w:val="en-US"/>
        </w:rPr>
        <w:t xml:space="preserve"> either o</w:t>
      </w:r>
      <w:r w:rsidRPr="001760E9">
        <w:rPr>
          <w:lang w:val="en-US"/>
        </w:rPr>
        <w:t xml:space="preserve">rdinary </w:t>
      </w:r>
      <w:r>
        <w:rPr>
          <w:lang w:val="en-US"/>
        </w:rPr>
        <w:t>l</w:t>
      </w:r>
      <w:r w:rsidRPr="001760E9">
        <w:rPr>
          <w:lang w:val="en-US"/>
        </w:rPr>
        <w:t xml:space="preserve">east </w:t>
      </w:r>
      <w:r>
        <w:rPr>
          <w:lang w:val="en-US"/>
        </w:rPr>
        <w:t>s</w:t>
      </w:r>
      <w:r w:rsidRPr="001760E9">
        <w:rPr>
          <w:lang w:val="en-US"/>
        </w:rPr>
        <w:t>quares</w:t>
      </w:r>
      <w:r w:rsidR="001A3525">
        <w:rPr>
          <w:lang w:val="en-US"/>
        </w:rPr>
        <w:t xml:space="preserve"> method</w:t>
      </w:r>
      <w:r w:rsidRPr="001760E9">
        <w:rPr>
          <w:lang w:val="en-US"/>
        </w:rPr>
        <w:t xml:space="preserve"> </w:t>
      </w:r>
      <w:r>
        <w:rPr>
          <w:lang w:val="en-US"/>
        </w:rPr>
        <w:t>or Deming regression (m</w:t>
      </w:r>
      <w:r w:rsidRPr="001760E9">
        <w:rPr>
          <w:lang w:val="en-US"/>
        </w:rPr>
        <w:t>ore precise, as it accounts for measurement errors in both the independent and dependent variables</w:t>
      </w:r>
      <w:r>
        <w:rPr>
          <w:lang w:val="en-US"/>
        </w:rPr>
        <w:t>)</w:t>
      </w:r>
      <w:r w:rsidRPr="001760E9">
        <w:rPr>
          <w:lang w:val="en-US"/>
        </w:rPr>
        <w:t>.</w:t>
      </w:r>
    </w:p>
    <w:p w14:paraId="6A89426A" w14:textId="36CED2D7" w:rsidR="001760E9" w:rsidRPr="001760E9" w:rsidRDefault="001760E9" w:rsidP="001760E9">
      <w:pPr>
        <w:pStyle w:val="a7"/>
        <w:numPr>
          <w:ilvl w:val="0"/>
          <w:numId w:val="18"/>
        </w:numPr>
        <w:rPr>
          <w:lang w:val="en-US"/>
        </w:rPr>
      </w:pPr>
      <w:r w:rsidRPr="001760E9">
        <w:rPr>
          <w:lang w:val="en-US"/>
        </w:rPr>
        <w:t>Quadratic Regression (y ~ ax² + bx + c)</w:t>
      </w:r>
    </w:p>
    <w:p w14:paraId="728F5EE3" w14:textId="54D22FCE" w:rsidR="001760E9" w:rsidRDefault="001A3525" w:rsidP="001760E9">
      <w:pPr>
        <w:rPr>
          <w:lang w:val="en-US"/>
        </w:rPr>
      </w:pPr>
      <w:r>
        <w:rPr>
          <w:lang w:val="en-US"/>
        </w:rPr>
        <w:t>It is f</w:t>
      </w:r>
      <w:r w:rsidR="001760E9" w:rsidRPr="001760E9">
        <w:rPr>
          <w:lang w:val="en-US"/>
        </w:rPr>
        <w:t xml:space="preserve">itted using </w:t>
      </w:r>
      <w:r>
        <w:rPr>
          <w:lang w:val="en-US"/>
        </w:rPr>
        <w:t>o</w:t>
      </w:r>
      <w:r w:rsidR="001760E9" w:rsidRPr="001760E9">
        <w:rPr>
          <w:lang w:val="en-US"/>
        </w:rPr>
        <w:t xml:space="preserve">rdinary </w:t>
      </w:r>
      <w:r>
        <w:rPr>
          <w:lang w:val="en-US"/>
        </w:rPr>
        <w:t>l</w:t>
      </w:r>
      <w:r w:rsidR="001760E9" w:rsidRPr="001760E9">
        <w:rPr>
          <w:lang w:val="en-US"/>
        </w:rPr>
        <w:t xml:space="preserve">east </w:t>
      </w:r>
      <w:r>
        <w:rPr>
          <w:lang w:val="en-US"/>
        </w:rPr>
        <w:t>s</w:t>
      </w:r>
      <w:r w:rsidR="001760E9" w:rsidRPr="001760E9">
        <w:rPr>
          <w:lang w:val="en-US"/>
        </w:rPr>
        <w:t>quares</w:t>
      </w:r>
      <w:r>
        <w:rPr>
          <w:lang w:val="en-US"/>
        </w:rPr>
        <w:t xml:space="preserve"> method and is m</w:t>
      </w:r>
      <w:r w:rsidR="001760E9" w:rsidRPr="001760E9">
        <w:rPr>
          <w:lang w:val="en-US"/>
        </w:rPr>
        <w:t xml:space="preserve">ore suitable when the titration curve exhibits slight curvature, </w:t>
      </w:r>
      <w:r>
        <w:rPr>
          <w:lang w:val="en-US"/>
        </w:rPr>
        <w:t xml:space="preserve">as it </w:t>
      </w:r>
      <w:r w:rsidR="001760E9" w:rsidRPr="001760E9">
        <w:rPr>
          <w:lang w:val="en-US"/>
        </w:rPr>
        <w:t>improv</w:t>
      </w:r>
      <w:r>
        <w:rPr>
          <w:lang w:val="en-US"/>
        </w:rPr>
        <w:t>es the</w:t>
      </w:r>
      <w:r w:rsidR="001760E9" w:rsidRPr="001760E9">
        <w:rPr>
          <w:lang w:val="en-US"/>
        </w:rPr>
        <w:t xml:space="preserve"> accuracy</w:t>
      </w:r>
      <w:r>
        <w:rPr>
          <w:lang w:val="en-US"/>
        </w:rPr>
        <w:t xml:space="preserve"> of modelling</w:t>
      </w:r>
      <w:r w:rsidR="001760E9" w:rsidRPr="001760E9">
        <w:rPr>
          <w:lang w:val="en-US"/>
        </w:rPr>
        <w:t>.</w:t>
      </w:r>
    </w:p>
    <w:p w14:paraId="7BA99C3B" w14:textId="69601A6F" w:rsidR="0011700C" w:rsidRPr="001760E9" w:rsidRDefault="0011700C" w:rsidP="001760E9">
      <w:pPr>
        <w:rPr>
          <w:lang w:val="en-US"/>
        </w:rPr>
      </w:pPr>
      <w:r>
        <w:rPr>
          <w:lang w:val="en-US"/>
        </w:rPr>
        <w:t>Regression coefficients (est) and their 95% confidence intervals (ci.lower and ci.upper) are displayed in the table below two plots.</w:t>
      </w:r>
    </w:p>
    <w:p w14:paraId="184A41A8" w14:textId="1DD3B74E" w:rsidR="001760E9" w:rsidRPr="001760E9" w:rsidRDefault="001760E9" w:rsidP="001760E9">
      <w:pPr>
        <w:rPr>
          <w:lang w:val="en-US"/>
        </w:rPr>
      </w:pPr>
      <w:r w:rsidRPr="001760E9">
        <w:rPr>
          <w:lang w:val="en-US"/>
        </w:rPr>
        <w:t>By default, the app applies log-transformed values to both concentrations and optical densities, enhancing linearity in the regression model.</w:t>
      </w:r>
      <w:r w:rsidR="001A3525">
        <w:rPr>
          <w:lang w:val="en-US"/>
        </w:rPr>
        <w:t xml:space="preserve"> However, u</w:t>
      </w:r>
      <w:r w:rsidRPr="001760E9">
        <w:rPr>
          <w:lang w:val="en-US"/>
        </w:rPr>
        <w:t>sers can switch to linear scaling by selecting the “Linear Scales” checkbox.</w:t>
      </w:r>
    </w:p>
    <w:p w14:paraId="05D17FB9" w14:textId="77777777" w:rsidR="007D5117" w:rsidRDefault="007D5117" w:rsidP="007D5117">
      <w:pPr>
        <w:rPr>
          <w:b/>
          <w:lang w:val="en-US"/>
        </w:rPr>
      </w:pPr>
      <w:r w:rsidRPr="007D5117">
        <w:rPr>
          <w:lang w:val="en-US"/>
        </w:rPr>
        <w:t>The results table can be exported as an Excel (.xlsx) or CSV (.csv) file by clicking the “Download Results” button.</w:t>
      </w:r>
    </w:p>
    <w:p w14:paraId="007B0913" w14:textId="020B47E3" w:rsidR="001760E9" w:rsidRDefault="001A3525" w:rsidP="001A3525">
      <w:pPr>
        <w:pStyle w:val="2"/>
        <w:rPr>
          <w:lang w:val="en-US"/>
        </w:rPr>
      </w:pPr>
      <w:bookmarkStart w:id="7" w:name="_Toc191588638"/>
      <w:r>
        <w:rPr>
          <w:lang w:val="en-US"/>
        </w:rPr>
        <w:t>Result Table</w:t>
      </w:r>
      <w:bookmarkEnd w:id="7"/>
    </w:p>
    <w:p w14:paraId="124DAE12" w14:textId="7E740E18" w:rsidR="00C66677" w:rsidRPr="00C66677" w:rsidRDefault="00C66677" w:rsidP="00C66677">
      <w:pPr>
        <w:rPr>
          <w:lang w:val="en-US"/>
        </w:rPr>
      </w:pPr>
      <w:r w:rsidRPr="00C66677">
        <w:rPr>
          <w:lang w:val="en-US"/>
        </w:rPr>
        <w:t>By clicking the "Results" tab, users can view a table displaying calculated analyte concentrations adjusted for the dilution factor. The table includes four mandatory columns—"sample.names", "sample.dates", "dilution", and "conc"—along with any custom columns from the uploaded template.</w:t>
      </w:r>
    </w:p>
    <w:p w14:paraId="44AD0692" w14:textId="4231BF85" w:rsidR="00C66677" w:rsidRPr="00C66677" w:rsidRDefault="00C66677" w:rsidP="00C66677">
      <w:pPr>
        <w:rPr>
          <w:lang w:val="en-US"/>
        </w:rPr>
      </w:pPr>
      <w:r w:rsidRPr="00C66677">
        <w:rPr>
          <w:lang w:val="en-US"/>
        </w:rPr>
        <w:t>The app rounds analyte concentrations to three significant figures for easier interpretation, especially when sample values vary widely or are measured at different dilutions. For example, a high sample measured at 12345.678 ng/ml and a low sample at 1.23456 ng/ml would appear as 12300 and 1.23, respectively.</w:t>
      </w:r>
    </w:p>
    <w:p w14:paraId="64C8499D" w14:textId="3CE1F205" w:rsidR="00C66677" w:rsidRDefault="00C66677" w:rsidP="00C66677">
      <w:pPr>
        <w:rPr>
          <w:lang w:val="en-US"/>
        </w:rPr>
      </w:pPr>
      <w:r w:rsidRPr="00C66677">
        <w:rPr>
          <w:lang w:val="en-US"/>
        </w:rPr>
        <w:t>Users can modify the number of significant digits by adjusting the parameter in the "Rounding Options" section in the sidebar. Additionally, selecting "Round" as the rounding function allows values to be rounded to a specific decimal place.</w:t>
      </w:r>
    </w:p>
    <w:p w14:paraId="6AF10505" w14:textId="372D27E0" w:rsidR="009A6336" w:rsidRDefault="009A6336" w:rsidP="00C66677">
      <w:pPr>
        <w:rPr>
          <w:lang w:val="en-US"/>
        </w:rPr>
      </w:pPr>
      <w:r>
        <w:rPr>
          <w:lang w:val="en-US"/>
        </w:rPr>
        <w:t>Users can export the table with calculated concentrations as an Excel or CSV file by clicking the “Download results” button.</w:t>
      </w:r>
    </w:p>
    <w:p w14:paraId="10010EA5" w14:textId="18A340AF" w:rsidR="009A6336" w:rsidRDefault="009A6336" w:rsidP="009A6336">
      <w:pPr>
        <w:pStyle w:val="2"/>
        <w:rPr>
          <w:lang w:val="en-US"/>
        </w:rPr>
      </w:pPr>
      <w:bookmarkStart w:id="8" w:name="_Toc191588639"/>
      <w:r>
        <w:rPr>
          <w:lang w:val="en-US"/>
        </w:rPr>
        <w:t>Result Summary</w:t>
      </w:r>
      <w:bookmarkEnd w:id="8"/>
    </w:p>
    <w:p w14:paraId="42724910" w14:textId="77777777" w:rsidR="00696B34" w:rsidRPr="007D5117" w:rsidRDefault="00696B34" w:rsidP="00696B34">
      <w:pPr>
        <w:rPr>
          <w:lang w:val="en-US"/>
        </w:rPr>
      </w:pPr>
      <w:r w:rsidRPr="007D5117">
        <w:rPr>
          <w:lang w:val="en-US"/>
        </w:rPr>
        <w:t>In the "Result Summary" tab, users can aggregate results based on common values found in the following descriptive columns:</w:t>
      </w:r>
    </w:p>
    <w:p w14:paraId="3569D36A" w14:textId="77777777" w:rsidR="00696B34" w:rsidRPr="007D5117" w:rsidRDefault="00696B34" w:rsidP="00696B34">
      <w:pPr>
        <w:pStyle w:val="a7"/>
        <w:numPr>
          <w:ilvl w:val="0"/>
          <w:numId w:val="19"/>
        </w:numPr>
        <w:rPr>
          <w:lang w:val="en-US"/>
        </w:rPr>
      </w:pPr>
      <w:r w:rsidRPr="007D5117">
        <w:rPr>
          <w:lang w:val="en-US"/>
        </w:rPr>
        <w:t>sample.names</w:t>
      </w:r>
    </w:p>
    <w:p w14:paraId="37E052DD" w14:textId="77777777" w:rsidR="00696B34" w:rsidRPr="007D5117" w:rsidRDefault="00696B34" w:rsidP="00696B34">
      <w:pPr>
        <w:pStyle w:val="a7"/>
        <w:numPr>
          <w:ilvl w:val="0"/>
          <w:numId w:val="19"/>
        </w:numPr>
        <w:rPr>
          <w:lang w:val="en-US"/>
        </w:rPr>
      </w:pPr>
      <w:r w:rsidRPr="007D5117">
        <w:rPr>
          <w:lang w:val="en-US"/>
        </w:rPr>
        <w:lastRenderedPageBreak/>
        <w:t>sample.date</w:t>
      </w:r>
    </w:p>
    <w:p w14:paraId="33D7BB75" w14:textId="77777777" w:rsidR="00696B34" w:rsidRDefault="00696B34" w:rsidP="00696B34">
      <w:pPr>
        <w:pStyle w:val="a7"/>
        <w:numPr>
          <w:ilvl w:val="0"/>
          <w:numId w:val="19"/>
        </w:numPr>
        <w:rPr>
          <w:lang w:val="en-US"/>
        </w:rPr>
      </w:pPr>
      <w:r w:rsidRPr="007D5117">
        <w:rPr>
          <w:lang w:val="en-US"/>
        </w:rPr>
        <w:t>dilution</w:t>
      </w:r>
    </w:p>
    <w:p w14:paraId="763F42CE" w14:textId="77777777" w:rsidR="00696B34" w:rsidRPr="007D5117" w:rsidRDefault="00696B34" w:rsidP="00696B34">
      <w:pPr>
        <w:rPr>
          <w:lang w:val="en-US"/>
        </w:rPr>
      </w:pPr>
      <w:r w:rsidRPr="007D5117">
        <w:rPr>
          <w:lang w:val="en-US"/>
        </w:rPr>
        <w:t>Any additional columns provided by the user can also be used for further aggregation.</w:t>
      </w:r>
      <w:r>
        <w:rPr>
          <w:lang w:val="en-US"/>
        </w:rPr>
        <w:t xml:space="preserve"> </w:t>
      </w:r>
      <w:r w:rsidRPr="007D5117">
        <w:rPr>
          <w:lang w:val="en-US"/>
        </w:rPr>
        <w:t>For each combination of the selected parameters, the app calculates:</w:t>
      </w:r>
    </w:p>
    <w:p w14:paraId="73F2C7BA" w14:textId="77777777" w:rsidR="00696B34" w:rsidRPr="007D5117" w:rsidRDefault="00696B34" w:rsidP="00696B34">
      <w:pPr>
        <w:pStyle w:val="a7"/>
        <w:numPr>
          <w:ilvl w:val="0"/>
          <w:numId w:val="20"/>
        </w:numPr>
        <w:rPr>
          <w:lang w:val="en-US"/>
        </w:rPr>
      </w:pPr>
      <w:r w:rsidRPr="007D5117">
        <w:rPr>
          <w:lang w:val="en-US"/>
        </w:rPr>
        <w:t>Number of samples in the group</w:t>
      </w:r>
      <w:r>
        <w:rPr>
          <w:lang w:val="en-US"/>
        </w:rPr>
        <w:t xml:space="preserve"> (“n” column)</w:t>
      </w:r>
      <w:r w:rsidRPr="007D5117">
        <w:rPr>
          <w:lang w:val="en-US"/>
        </w:rPr>
        <w:t>.</w:t>
      </w:r>
    </w:p>
    <w:p w14:paraId="43E5242E" w14:textId="77777777" w:rsidR="00696B34" w:rsidRPr="007D5117" w:rsidRDefault="00696B34" w:rsidP="00696B34">
      <w:pPr>
        <w:pStyle w:val="a7"/>
        <w:numPr>
          <w:ilvl w:val="0"/>
          <w:numId w:val="20"/>
        </w:numPr>
        <w:rPr>
          <w:lang w:val="en-US"/>
        </w:rPr>
      </w:pPr>
      <w:r w:rsidRPr="007D5117">
        <w:rPr>
          <w:lang w:val="en-US"/>
        </w:rPr>
        <w:t>Mean analyte concentration ("mean" column).</w:t>
      </w:r>
    </w:p>
    <w:p w14:paraId="48A9CB0F" w14:textId="77777777" w:rsidR="00696B34" w:rsidRPr="007D5117" w:rsidRDefault="00696B34" w:rsidP="00696B34">
      <w:pPr>
        <w:pStyle w:val="a7"/>
        <w:numPr>
          <w:ilvl w:val="0"/>
          <w:numId w:val="20"/>
        </w:numPr>
        <w:rPr>
          <w:lang w:val="en-US"/>
        </w:rPr>
      </w:pPr>
      <w:r w:rsidRPr="007D5117">
        <w:rPr>
          <w:lang w:val="en-US"/>
        </w:rPr>
        <w:t>Minimum and maximum observed concentrations</w:t>
      </w:r>
      <w:r>
        <w:rPr>
          <w:lang w:val="en-US"/>
        </w:rPr>
        <w:t xml:space="preserve"> (“min” and “max” columns)</w:t>
      </w:r>
      <w:r w:rsidRPr="007D5117">
        <w:rPr>
          <w:lang w:val="en-US"/>
        </w:rPr>
        <w:t>.</w:t>
      </w:r>
    </w:p>
    <w:p w14:paraId="34DFC9D4" w14:textId="77777777" w:rsidR="00696B34" w:rsidRDefault="00696B34" w:rsidP="00696B34">
      <w:pPr>
        <w:rPr>
          <w:lang w:val="en-US"/>
        </w:rPr>
      </w:pPr>
      <w:r w:rsidRPr="007D5117">
        <w:rPr>
          <w:lang w:val="en-US"/>
        </w:rPr>
        <w:t>The aggregated results can be exported as an Excel or CSV file for further analysis.</w:t>
      </w:r>
    </w:p>
    <w:p w14:paraId="4BF36205" w14:textId="687607F9" w:rsidR="007D5117" w:rsidRDefault="007D5117" w:rsidP="007D5117">
      <w:pPr>
        <w:pStyle w:val="2"/>
        <w:rPr>
          <w:lang w:val="en-US"/>
        </w:rPr>
      </w:pPr>
      <w:bookmarkStart w:id="9" w:name="_Toc191588640"/>
      <w:r>
        <w:rPr>
          <w:lang w:val="en-US"/>
        </w:rPr>
        <w:t>Report</w:t>
      </w:r>
      <w:bookmarkEnd w:id="9"/>
    </w:p>
    <w:p w14:paraId="51C1F597" w14:textId="038EEC9B" w:rsidR="00696B34" w:rsidRPr="00696B34" w:rsidRDefault="00696B34" w:rsidP="00696B34">
      <w:pPr>
        <w:rPr>
          <w:lang w:val="en-US"/>
        </w:rPr>
      </w:pPr>
      <w:r w:rsidRPr="00696B34">
        <w:rPr>
          <w:lang w:val="en-US"/>
        </w:rPr>
        <w:t>The "Report" tab provides an option to generate a detailed summary of the experiment. Users need to fill in only one field</w:t>
      </w:r>
      <w:r>
        <w:rPr>
          <w:lang w:val="en-US"/>
        </w:rPr>
        <w:t xml:space="preserve"> </w:t>
      </w:r>
      <w:r w:rsidRPr="00696B34">
        <w:rPr>
          <w:lang w:val="en-US"/>
        </w:rPr>
        <w:t>–</w:t>
      </w:r>
      <w:r>
        <w:rPr>
          <w:lang w:val="en-US"/>
        </w:rPr>
        <w:t xml:space="preserve"> </w:t>
      </w:r>
      <w:r w:rsidRPr="00696B34">
        <w:rPr>
          <w:lang w:val="en-US"/>
        </w:rPr>
        <w:t xml:space="preserve">"Title" – </w:t>
      </w:r>
      <w:r>
        <w:rPr>
          <w:lang w:val="en-US"/>
        </w:rPr>
        <w:t>t</w:t>
      </w:r>
      <w:r w:rsidRPr="00696B34">
        <w:rPr>
          <w:lang w:val="en-US"/>
        </w:rPr>
        <w:t>he experiment name.</w:t>
      </w:r>
      <w:r>
        <w:rPr>
          <w:lang w:val="en-US"/>
        </w:rPr>
        <w:t xml:space="preserve"> </w:t>
      </w:r>
      <w:r w:rsidRPr="00696B34">
        <w:rPr>
          <w:lang w:val="en-US"/>
        </w:rPr>
        <w:t>By clicking the “Download Report” button, the app generates a Word (.docx) file containing:</w:t>
      </w:r>
    </w:p>
    <w:p w14:paraId="18F78357" w14:textId="77777777" w:rsidR="00696B34" w:rsidRPr="00696B34" w:rsidRDefault="00696B34" w:rsidP="00696B34">
      <w:pPr>
        <w:pStyle w:val="a7"/>
        <w:numPr>
          <w:ilvl w:val="0"/>
          <w:numId w:val="21"/>
        </w:numPr>
        <w:rPr>
          <w:lang w:val="en-US"/>
        </w:rPr>
      </w:pPr>
      <w:r w:rsidRPr="00696B34">
        <w:rPr>
          <w:lang w:val="en-US"/>
        </w:rPr>
        <w:t>The current system date and experiment name.</w:t>
      </w:r>
    </w:p>
    <w:p w14:paraId="6A766024" w14:textId="77777777" w:rsidR="00696B34" w:rsidRPr="00696B34" w:rsidRDefault="00696B34" w:rsidP="00696B34">
      <w:pPr>
        <w:pStyle w:val="a7"/>
        <w:numPr>
          <w:ilvl w:val="0"/>
          <w:numId w:val="21"/>
        </w:numPr>
        <w:rPr>
          <w:lang w:val="en-US"/>
        </w:rPr>
      </w:pPr>
      <w:r w:rsidRPr="00696B34">
        <w:rPr>
          <w:lang w:val="en-US"/>
        </w:rPr>
        <w:t>Plots: Standard curve and residuals vs. fitted values.</w:t>
      </w:r>
    </w:p>
    <w:p w14:paraId="5A53467A" w14:textId="77777777" w:rsidR="00696B34" w:rsidRPr="00696B34" w:rsidRDefault="00696B34" w:rsidP="00696B34">
      <w:pPr>
        <w:pStyle w:val="a7"/>
        <w:numPr>
          <w:ilvl w:val="0"/>
          <w:numId w:val="21"/>
        </w:numPr>
        <w:rPr>
          <w:lang w:val="en-US"/>
        </w:rPr>
      </w:pPr>
      <w:r w:rsidRPr="00696B34">
        <w:rPr>
          <w:lang w:val="en-US"/>
        </w:rPr>
        <w:t>A table of regression coefficients and the type of linear model used.</w:t>
      </w:r>
    </w:p>
    <w:p w14:paraId="47C3AAC2" w14:textId="77777777" w:rsidR="00696B34" w:rsidRPr="00696B34" w:rsidRDefault="00696B34" w:rsidP="00696B34">
      <w:pPr>
        <w:pStyle w:val="a7"/>
        <w:numPr>
          <w:ilvl w:val="0"/>
          <w:numId w:val="21"/>
        </w:numPr>
        <w:rPr>
          <w:lang w:val="en-US"/>
        </w:rPr>
      </w:pPr>
      <w:r w:rsidRPr="00696B34">
        <w:rPr>
          <w:lang w:val="en-US"/>
        </w:rPr>
        <w:t>The Results Table and Summary Table.</w:t>
      </w:r>
    </w:p>
    <w:p w14:paraId="4A642C14" w14:textId="7D68192A" w:rsidR="00696B34" w:rsidRPr="00696B34" w:rsidRDefault="00696B34" w:rsidP="00696B34">
      <w:pPr>
        <w:rPr>
          <w:lang w:val="en-US"/>
        </w:rPr>
      </w:pPr>
      <w:r w:rsidRPr="00696B34">
        <w:rPr>
          <w:lang w:val="en-US"/>
        </w:rPr>
        <w:t xml:space="preserve">This report </w:t>
      </w:r>
      <w:r>
        <w:rPr>
          <w:lang w:val="en-US"/>
        </w:rPr>
        <w:t xml:space="preserve">file </w:t>
      </w:r>
      <w:r w:rsidRPr="00696B34">
        <w:rPr>
          <w:lang w:val="en-US"/>
        </w:rPr>
        <w:t>can be further edited and customized by users as needed.</w:t>
      </w:r>
    </w:p>
    <w:p w14:paraId="6ABB41BB" w14:textId="7DDEF802" w:rsidR="00546830" w:rsidRDefault="00546830" w:rsidP="00546830">
      <w:pPr>
        <w:pStyle w:val="1"/>
        <w:rPr>
          <w:lang w:val="en-US"/>
        </w:rPr>
      </w:pPr>
      <w:bookmarkStart w:id="10" w:name="_Toc191588641"/>
      <w:r>
        <w:rPr>
          <w:lang w:val="en-US"/>
        </w:rPr>
        <w:t>Sample Data Sets</w:t>
      </w:r>
      <w:bookmarkEnd w:id="10"/>
    </w:p>
    <w:p w14:paraId="471A3E96" w14:textId="375B05F2" w:rsidR="004C00FD" w:rsidRDefault="004C00FD" w:rsidP="00C322E2">
      <w:pPr>
        <w:rPr>
          <w:lang w:val="en-US"/>
        </w:rPr>
      </w:pPr>
      <w:r w:rsidRPr="004C00FD">
        <w:rPr>
          <w:lang w:val="en-US"/>
        </w:rPr>
        <w:t>The Linearity App includes three sample datasets, generated from real laboratory experiments, which users can reference and process within the app.</w:t>
      </w:r>
    </w:p>
    <w:p w14:paraId="008D959F" w14:textId="62FEE96A" w:rsidR="00696B34" w:rsidRDefault="00696B34" w:rsidP="00696B34">
      <w:pPr>
        <w:pStyle w:val="2"/>
        <w:rPr>
          <w:lang w:val="en-US"/>
        </w:rPr>
      </w:pPr>
      <w:bookmarkStart w:id="11" w:name="_Toc191588642"/>
      <w:r>
        <w:rPr>
          <w:lang w:val="en-US"/>
        </w:rPr>
        <w:t>BCA assay</w:t>
      </w:r>
      <w:bookmarkEnd w:id="11"/>
    </w:p>
    <w:p w14:paraId="28048FFB" w14:textId="3F5F7B79" w:rsidR="004C00FD" w:rsidRPr="004C00FD" w:rsidRDefault="004C00FD" w:rsidP="004C00FD">
      <w:pPr>
        <w:rPr>
          <w:rFonts w:ascii="Cordia New" w:hAnsi="Cordia New" w:cs="Cordia New" w:hint="cs"/>
          <w:sz w:val="32"/>
          <w:szCs w:val="28"/>
          <w:lang w:val="en-US"/>
        </w:rPr>
      </w:pPr>
      <w:r w:rsidRPr="004C00FD">
        <w:rPr>
          <w:b/>
          <w:bCs/>
          <w:lang w:val="en-US"/>
        </w:rPr>
        <w:t>F</w:t>
      </w:r>
      <w:r w:rsidRPr="004C00FD">
        <w:rPr>
          <w:b/>
          <w:bCs/>
          <w:lang w:val="en-US"/>
        </w:rPr>
        <w:t>ile:</w:t>
      </w:r>
      <w:r w:rsidRPr="004C00FD">
        <w:rPr>
          <w:lang w:val="en-US"/>
        </w:rPr>
        <w:t xml:space="preserve"> </w:t>
      </w:r>
      <w:r w:rsidRPr="004C00FD">
        <w:rPr>
          <w:rFonts w:ascii="Cordia New" w:hAnsi="Cordia New" w:cs="Cordia New" w:hint="cs"/>
          <w:sz w:val="32"/>
          <w:szCs w:val="28"/>
          <w:lang w:val="en-US"/>
        </w:rPr>
        <w:t>#01_BCA_assay_semicolon-delimited.csv</w:t>
      </w:r>
    </w:p>
    <w:p w14:paraId="666657ED" w14:textId="0438E437" w:rsidR="004C00FD" w:rsidRPr="004C00FD" w:rsidRDefault="004C00FD" w:rsidP="004C00FD">
      <w:pPr>
        <w:rPr>
          <w:lang w:val="en-US"/>
        </w:rPr>
      </w:pPr>
      <w:r w:rsidRPr="004C00FD">
        <w:rPr>
          <w:lang w:val="en-US"/>
        </w:rPr>
        <w:t>This dataset contains results from a bicinchoninic acid (BCA) assay, used to quantify protein concentration. The experiment tested four purified recombinant protein samples from four transfection experiments (T1–T4), each measured at two dilution factors (5 and 10).</w:t>
      </w:r>
    </w:p>
    <w:p w14:paraId="7F47F9C2" w14:textId="77777777" w:rsidR="004C00FD" w:rsidRPr="004C00FD" w:rsidRDefault="004C00FD" w:rsidP="004C00FD">
      <w:pPr>
        <w:rPr>
          <w:u w:val="single"/>
          <w:lang w:val="en-US"/>
        </w:rPr>
      </w:pPr>
      <w:r w:rsidRPr="004C00FD">
        <w:rPr>
          <w:u w:val="single"/>
          <w:lang w:val="en-US"/>
        </w:rPr>
        <w:t>Experimental Details:</w:t>
      </w:r>
    </w:p>
    <w:p w14:paraId="1036BE30" w14:textId="77777777" w:rsidR="004C00FD" w:rsidRPr="004C00FD" w:rsidRDefault="004C00FD" w:rsidP="004C00FD">
      <w:pPr>
        <w:pStyle w:val="a7"/>
        <w:numPr>
          <w:ilvl w:val="0"/>
          <w:numId w:val="22"/>
        </w:numPr>
        <w:rPr>
          <w:lang w:val="en-US"/>
        </w:rPr>
      </w:pPr>
      <w:r w:rsidRPr="004C00FD">
        <w:rPr>
          <w:lang w:val="en-US"/>
        </w:rPr>
        <w:t>Each sample was tested in triplicate at each dilution.</w:t>
      </w:r>
    </w:p>
    <w:p w14:paraId="1F2AEA64" w14:textId="77777777" w:rsidR="004C00FD" w:rsidRPr="004C00FD" w:rsidRDefault="004C00FD" w:rsidP="004C00FD">
      <w:pPr>
        <w:pStyle w:val="a7"/>
        <w:numPr>
          <w:ilvl w:val="0"/>
          <w:numId w:val="22"/>
        </w:numPr>
        <w:rPr>
          <w:lang w:val="en-US"/>
        </w:rPr>
      </w:pPr>
      <w:r w:rsidRPr="004C00FD">
        <w:rPr>
          <w:lang w:val="en-US"/>
        </w:rPr>
        <w:t>Two BSA titrations with known concentrations (2 mg/mL to 0.031 mg/mL) were used to generate the standard curve.</w:t>
      </w:r>
    </w:p>
    <w:p w14:paraId="002B7080" w14:textId="4C6EC596" w:rsidR="00696B34" w:rsidRPr="004C00FD" w:rsidRDefault="004C00FD" w:rsidP="004C00FD">
      <w:pPr>
        <w:pStyle w:val="a7"/>
        <w:numPr>
          <w:ilvl w:val="0"/>
          <w:numId w:val="22"/>
        </w:numPr>
        <w:rPr>
          <w:lang w:val="en-US"/>
        </w:rPr>
      </w:pPr>
      <w:r w:rsidRPr="004C00FD">
        <w:rPr>
          <w:lang w:val="en-US"/>
        </w:rPr>
        <w:t>The data is provided in CSV format, using a semicolon (;) as the delimiter.</w:t>
      </w:r>
    </w:p>
    <w:p w14:paraId="05BF91E5" w14:textId="471019CB" w:rsidR="00B66BBF" w:rsidRDefault="00B66BBF" w:rsidP="00B66BBF">
      <w:pPr>
        <w:pStyle w:val="2"/>
        <w:rPr>
          <w:lang w:val="en-US"/>
        </w:rPr>
      </w:pPr>
      <w:bookmarkStart w:id="12" w:name="_Toc191588643"/>
      <w:r>
        <w:rPr>
          <w:lang w:val="en-US"/>
        </w:rPr>
        <w:t>Sandwich ELISA</w:t>
      </w:r>
      <w:bookmarkEnd w:id="12"/>
    </w:p>
    <w:p w14:paraId="28C9E49B" w14:textId="4792CE45" w:rsidR="004C00FD" w:rsidRPr="004C00FD" w:rsidRDefault="004C00FD" w:rsidP="004C00FD">
      <w:pPr>
        <w:rPr>
          <w:rFonts w:ascii="Cordia New" w:hAnsi="Cordia New" w:cs="Cordia New" w:hint="cs"/>
          <w:sz w:val="32"/>
          <w:szCs w:val="28"/>
          <w:lang w:val="en-US"/>
        </w:rPr>
      </w:pPr>
      <w:r w:rsidRPr="004C00FD">
        <w:rPr>
          <w:b/>
          <w:bCs/>
          <w:lang w:val="en-US"/>
        </w:rPr>
        <w:t>File:</w:t>
      </w:r>
      <w:r w:rsidRPr="004C00FD">
        <w:rPr>
          <w:lang w:val="en-US"/>
        </w:rPr>
        <w:t xml:space="preserve"> </w:t>
      </w:r>
      <w:r w:rsidRPr="004C00FD">
        <w:rPr>
          <w:rFonts w:ascii="Cordia New" w:hAnsi="Cordia New" w:cs="Cordia New" w:hint="cs"/>
          <w:sz w:val="32"/>
          <w:szCs w:val="28"/>
          <w:lang w:val="en-US"/>
        </w:rPr>
        <w:t>#</w:t>
      </w:r>
      <w:r w:rsidRPr="004C00FD">
        <w:rPr>
          <w:rFonts w:ascii="Cordia New" w:hAnsi="Cordia New" w:cs="Cordia New"/>
          <w:sz w:val="32"/>
          <w:szCs w:val="28"/>
          <w:lang w:val="en-US"/>
        </w:rPr>
        <w:t>02_Sandwich ELISA (sMICB)_comma-delimited.csv</w:t>
      </w:r>
    </w:p>
    <w:p w14:paraId="6E2989B2" w14:textId="77777777" w:rsidR="004C00FD" w:rsidRPr="004C00FD" w:rsidRDefault="004C00FD" w:rsidP="004C00FD">
      <w:pPr>
        <w:rPr>
          <w:lang w:val="en-US"/>
        </w:rPr>
      </w:pPr>
      <w:r w:rsidRPr="004C00FD">
        <w:rPr>
          <w:lang w:val="en-US"/>
        </w:rPr>
        <w:lastRenderedPageBreak/>
        <w:t>This dataset originates from a sandwich ELISA experiment, measuring soluble MICA (sMICB) levels in blood plasma samples from prostate cancer patients.</w:t>
      </w:r>
    </w:p>
    <w:p w14:paraId="43E86354" w14:textId="6E753C79" w:rsidR="004C00FD" w:rsidRPr="004C00FD" w:rsidRDefault="004C00FD" w:rsidP="004C00FD">
      <w:pPr>
        <w:rPr>
          <w:u w:val="single"/>
          <w:lang w:val="en-US"/>
        </w:rPr>
      </w:pPr>
      <w:r w:rsidRPr="004C00FD">
        <w:rPr>
          <w:u w:val="single"/>
          <w:lang w:val="en-US"/>
        </w:rPr>
        <w:t>Experimental Details:</w:t>
      </w:r>
    </w:p>
    <w:p w14:paraId="45375838" w14:textId="77777777" w:rsidR="004C00FD" w:rsidRPr="004C00FD" w:rsidRDefault="004C00FD" w:rsidP="004C00FD">
      <w:pPr>
        <w:pStyle w:val="a7"/>
        <w:numPr>
          <w:ilvl w:val="0"/>
          <w:numId w:val="23"/>
        </w:numPr>
        <w:rPr>
          <w:lang w:val="en-US"/>
        </w:rPr>
      </w:pPr>
      <w:r w:rsidRPr="004C00FD">
        <w:rPr>
          <w:lang w:val="en-US"/>
        </w:rPr>
        <w:t>Plasma samples were serially diluted two-fold before testing.</w:t>
      </w:r>
    </w:p>
    <w:p w14:paraId="774039DA" w14:textId="77777777" w:rsidR="004C00FD" w:rsidRPr="004C00FD" w:rsidRDefault="004C00FD" w:rsidP="004C00FD">
      <w:pPr>
        <w:pStyle w:val="a7"/>
        <w:numPr>
          <w:ilvl w:val="0"/>
          <w:numId w:val="23"/>
        </w:numPr>
        <w:rPr>
          <w:lang w:val="en-US"/>
        </w:rPr>
      </w:pPr>
      <w:r w:rsidRPr="004C00FD">
        <w:rPr>
          <w:lang w:val="en-US"/>
        </w:rPr>
        <w:t>The assay was standardized using the recombinant extracellular domain of MICB*005, titrated twice from 5 ng/mL to 0.078 ng/mL.</w:t>
      </w:r>
    </w:p>
    <w:p w14:paraId="528199AF" w14:textId="0B1F9B46" w:rsidR="00B66BBF" w:rsidRPr="004C00FD" w:rsidRDefault="004C00FD" w:rsidP="004C00FD">
      <w:pPr>
        <w:pStyle w:val="a7"/>
        <w:numPr>
          <w:ilvl w:val="0"/>
          <w:numId w:val="23"/>
        </w:numPr>
        <w:rPr>
          <w:lang w:val="en-US"/>
        </w:rPr>
      </w:pPr>
      <w:r w:rsidRPr="004C00FD">
        <w:rPr>
          <w:lang w:val="en-US"/>
        </w:rPr>
        <w:t>The data is provided in CSV format, using a comma (,) as the delimiter.</w:t>
      </w:r>
    </w:p>
    <w:p w14:paraId="3A1CDFD1" w14:textId="5D4F137F" w:rsidR="00B66BBF" w:rsidRDefault="00B66BBF" w:rsidP="00B66BBF">
      <w:pPr>
        <w:pStyle w:val="2"/>
        <w:rPr>
          <w:lang w:val="en-US"/>
        </w:rPr>
      </w:pPr>
      <w:bookmarkStart w:id="13" w:name="_Toc191588644"/>
      <w:r>
        <w:rPr>
          <w:lang w:val="en-US"/>
        </w:rPr>
        <w:t>Greiss assay</w:t>
      </w:r>
      <w:bookmarkEnd w:id="13"/>
    </w:p>
    <w:p w14:paraId="5758C907" w14:textId="6E714209" w:rsidR="004C00FD" w:rsidRDefault="004C00FD" w:rsidP="004C00FD">
      <w:pPr>
        <w:rPr>
          <w:rFonts w:ascii="Cordia New" w:hAnsi="Cordia New" w:cs="Cordia New"/>
          <w:sz w:val="32"/>
          <w:szCs w:val="28"/>
          <w:lang w:val="en-US"/>
        </w:rPr>
      </w:pPr>
      <w:r w:rsidRPr="004C00FD">
        <w:rPr>
          <w:b/>
          <w:bCs/>
          <w:lang w:val="en-US"/>
        </w:rPr>
        <w:t>File:</w:t>
      </w:r>
      <w:r w:rsidRPr="004C00FD">
        <w:rPr>
          <w:lang w:val="en-US"/>
        </w:rPr>
        <w:t xml:space="preserve"> </w:t>
      </w:r>
      <w:r w:rsidRPr="004C00FD">
        <w:rPr>
          <w:rFonts w:ascii="Cordia New" w:hAnsi="Cordia New" w:cs="Cordia New"/>
          <w:sz w:val="32"/>
          <w:szCs w:val="28"/>
          <w:lang w:val="en-US"/>
        </w:rPr>
        <w:t>#03_Griess_assay_Excel.xlsx</w:t>
      </w:r>
    </w:p>
    <w:p w14:paraId="631C3723" w14:textId="6BC1DAC9" w:rsidR="004C00FD" w:rsidRPr="004C00FD" w:rsidRDefault="004C00FD" w:rsidP="00640A81">
      <w:pPr>
        <w:rPr>
          <w:lang w:val="en-US"/>
        </w:rPr>
      </w:pPr>
      <w:r w:rsidRPr="004C00FD">
        <w:rPr>
          <w:lang w:val="en-US"/>
        </w:rPr>
        <w:t>This dataset contains results from a Griess assay, which measures nitrite production as an indicator of immune cell polarization. The experiment evaluated nitrite levels in the media of macrophages derived from mouse bone marrow, categorized into three polarization states:</w:t>
      </w:r>
      <w:r w:rsidR="00640A81">
        <w:rPr>
          <w:lang w:val="en-US"/>
        </w:rPr>
        <w:t xml:space="preserve"> </w:t>
      </w:r>
      <w:r w:rsidRPr="004C00FD">
        <w:rPr>
          <w:lang w:val="en-US"/>
        </w:rPr>
        <w:t>M0 (non-polarized)</w:t>
      </w:r>
      <w:r w:rsidR="00640A81">
        <w:rPr>
          <w:lang w:val="en-US"/>
        </w:rPr>
        <w:t xml:space="preserve">, </w:t>
      </w:r>
      <w:r w:rsidRPr="004C00FD">
        <w:rPr>
          <w:lang w:val="en-US"/>
        </w:rPr>
        <w:t>M1 (classically polarized)</w:t>
      </w:r>
      <w:r w:rsidR="00640A81">
        <w:rPr>
          <w:lang w:val="en-US"/>
        </w:rPr>
        <w:t xml:space="preserve">, or </w:t>
      </w:r>
      <w:r w:rsidRPr="004C00FD">
        <w:rPr>
          <w:lang w:val="en-US"/>
        </w:rPr>
        <w:t>M2 (alternatively polarized)</w:t>
      </w:r>
      <w:r w:rsidR="00640A81">
        <w:rPr>
          <w:lang w:val="en-US"/>
        </w:rPr>
        <w:t>.</w:t>
      </w:r>
    </w:p>
    <w:p w14:paraId="50B06D1E" w14:textId="06F33E45" w:rsidR="004C00FD" w:rsidRPr="00640A81" w:rsidRDefault="004C00FD" w:rsidP="00640A81">
      <w:pPr>
        <w:rPr>
          <w:u w:val="single"/>
          <w:lang w:val="en-US"/>
        </w:rPr>
      </w:pPr>
      <w:r w:rsidRPr="00640A81">
        <w:rPr>
          <w:u w:val="single"/>
          <w:lang w:val="en-US"/>
        </w:rPr>
        <w:t>Experimental Details:</w:t>
      </w:r>
    </w:p>
    <w:p w14:paraId="1B56F530" w14:textId="77777777" w:rsidR="004C00FD" w:rsidRPr="00640A81" w:rsidRDefault="004C00FD" w:rsidP="00640A81">
      <w:pPr>
        <w:pStyle w:val="a7"/>
        <w:numPr>
          <w:ilvl w:val="0"/>
          <w:numId w:val="24"/>
        </w:numPr>
        <w:rPr>
          <w:lang w:val="en-US"/>
        </w:rPr>
      </w:pPr>
      <w:r w:rsidRPr="00640A81">
        <w:rPr>
          <w:lang w:val="en-US"/>
        </w:rPr>
        <w:t>Samples were collected on two separate days and tested in duplicate.</w:t>
      </w:r>
    </w:p>
    <w:p w14:paraId="7208EB61" w14:textId="77777777" w:rsidR="004C00FD" w:rsidRPr="00640A81" w:rsidRDefault="004C00FD" w:rsidP="00640A81">
      <w:pPr>
        <w:pStyle w:val="a7"/>
        <w:numPr>
          <w:ilvl w:val="0"/>
          <w:numId w:val="24"/>
        </w:numPr>
        <w:rPr>
          <w:lang w:val="en-US"/>
        </w:rPr>
      </w:pPr>
      <w:r w:rsidRPr="00640A81">
        <w:rPr>
          <w:lang w:val="en-US"/>
        </w:rPr>
        <w:t xml:space="preserve">Two nitrite titrations (from 100 </w:t>
      </w:r>
      <w:r w:rsidRPr="00640A81">
        <w:rPr>
          <w:rFonts w:ascii="Calibri" w:hAnsi="Calibri" w:cs="Calibri"/>
          <w:lang w:val="en-US"/>
        </w:rPr>
        <w:t>μ</w:t>
      </w:r>
      <w:r w:rsidRPr="00640A81">
        <w:rPr>
          <w:lang w:val="en-US"/>
        </w:rPr>
        <w:t xml:space="preserve">M to 1.56 </w:t>
      </w:r>
      <w:r w:rsidRPr="00640A81">
        <w:rPr>
          <w:rFonts w:ascii="Calibri" w:hAnsi="Calibri" w:cs="Calibri"/>
          <w:lang w:val="en-US"/>
        </w:rPr>
        <w:t>μ</w:t>
      </w:r>
      <w:r w:rsidRPr="00640A81">
        <w:rPr>
          <w:lang w:val="en-US"/>
        </w:rPr>
        <w:t>M) in cell culture medium were used for assay standardization.</w:t>
      </w:r>
    </w:p>
    <w:p w14:paraId="1ECB4D67" w14:textId="5B3AEA3D" w:rsidR="004C00FD" w:rsidRPr="00640A81" w:rsidRDefault="004C00FD" w:rsidP="00640A81">
      <w:pPr>
        <w:pStyle w:val="a7"/>
        <w:numPr>
          <w:ilvl w:val="0"/>
          <w:numId w:val="24"/>
        </w:numPr>
        <w:rPr>
          <w:rFonts w:hint="cs"/>
          <w:lang w:val="en-US"/>
        </w:rPr>
      </w:pPr>
      <w:r w:rsidRPr="00640A81">
        <w:rPr>
          <w:lang w:val="en-US"/>
        </w:rPr>
        <w:t>The data is provided in an Excel (.xlsx) file.</w:t>
      </w:r>
    </w:p>
    <w:p w14:paraId="024150E2" w14:textId="56947B1C" w:rsidR="00B66BBF" w:rsidRDefault="00B66BBF" w:rsidP="00696B34">
      <w:pPr>
        <w:rPr>
          <w:lang w:val="en-US"/>
        </w:rPr>
      </w:pPr>
    </w:p>
    <w:p w14:paraId="29CCB403" w14:textId="77777777" w:rsidR="00B66BBF" w:rsidRDefault="00B66BBF" w:rsidP="00696B34">
      <w:pPr>
        <w:rPr>
          <w:lang w:val="en-US"/>
        </w:rPr>
      </w:pPr>
    </w:p>
    <w:p w14:paraId="12D85C6D" w14:textId="77777777" w:rsidR="0079779F" w:rsidRPr="00696B34" w:rsidRDefault="0079779F" w:rsidP="00696B34">
      <w:pPr>
        <w:rPr>
          <w:lang w:val="en-US"/>
        </w:rPr>
      </w:pPr>
    </w:p>
    <w:sectPr w:rsidR="0079779F" w:rsidRPr="00696B34" w:rsidSect="00640A81">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556623" w14:textId="77777777" w:rsidR="005E0666" w:rsidRDefault="005E0666" w:rsidP="00B26FC9">
      <w:pPr>
        <w:spacing w:after="0" w:line="240" w:lineRule="auto"/>
      </w:pPr>
      <w:r>
        <w:separator/>
      </w:r>
    </w:p>
  </w:endnote>
  <w:endnote w:type="continuationSeparator" w:id="0">
    <w:p w14:paraId="32ECD5E0" w14:textId="77777777" w:rsidR="005E0666" w:rsidRDefault="005E0666" w:rsidP="00B26F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Cs w:val="24"/>
      </w:rPr>
      <w:id w:val="-1356576374"/>
      <w:docPartObj>
        <w:docPartGallery w:val="Page Numbers (Bottom of Page)"/>
        <w:docPartUnique/>
      </w:docPartObj>
    </w:sdtPr>
    <w:sdtContent>
      <w:p w14:paraId="726BF07C" w14:textId="1ECD7811" w:rsidR="00B26FC9" w:rsidRPr="00B26FC9" w:rsidRDefault="00B26FC9">
        <w:pPr>
          <w:pStyle w:val="af6"/>
          <w:jc w:val="center"/>
          <w:rPr>
            <w:szCs w:val="24"/>
          </w:rPr>
        </w:pPr>
        <w:r w:rsidRPr="00B26FC9">
          <w:rPr>
            <w:szCs w:val="24"/>
          </w:rPr>
          <w:fldChar w:fldCharType="begin"/>
        </w:r>
        <w:r w:rsidRPr="00B26FC9">
          <w:rPr>
            <w:szCs w:val="24"/>
          </w:rPr>
          <w:instrText>PAGE   \* MERGEFORMAT</w:instrText>
        </w:r>
        <w:r w:rsidRPr="00B26FC9">
          <w:rPr>
            <w:szCs w:val="24"/>
          </w:rPr>
          <w:fldChar w:fldCharType="separate"/>
        </w:r>
        <w:r w:rsidRPr="00B26FC9">
          <w:rPr>
            <w:szCs w:val="24"/>
          </w:rPr>
          <w:t>2</w:t>
        </w:r>
        <w:r w:rsidRPr="00B26FC9">
          <w:rPr>
            <w:szCs w:val="24"/>
          </w:rPr>
          <w:fldChar w:fldCharType="end"/>
        </w:r>
      </w:p>
    </w:sdtContent>
  </w:sdt>
  <w:p w14:paraId="6B9D34EA" w14:textId="77777777" w:rsidR="00B26FC9" w:rsidRPr="00B26FC9" w:rsidRDefault="00B26FC9">
    <w:pPr>
      <w:pStyle w:val="af6"/>
      <w:rPr>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F9A83" w14:textId="77777777" w:rsidR="005E0666" w:rsidRDefault="005E0666" w:rsidP="00B26FC9">
      <w:pPr>
        <w:spacing w:after="0" w:line="240" w:lineRule="auto"/>
      </w:pPr>
      <w:r>
        <w:separator/>
      </w:r>
    </w:p>
  </w:footnote>
  <w:footnote w:type="continuationSeparator" w:id="0">
    <w:p w14:paraId="5B35BF26" w14:textId="77777777" w:rsidR="005E0666" w:rsidRDefault="005E0666" w:rsidP="00B26F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27BE4"/>
    <w:multiLevelType w:val="hybridMultilevel"/>
    <w:tmpl w:val="54220A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6953E90"/>
    <w:multiLevelType w:val="hybridMultilevel"/>
    <w:tmpl w:val="1458CFD8"/>
    <w:lvl w:ilvl="0" w:tplc="C83068E2">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2" w15:restartNumberingAfterBreak="0">
    <w:nsid w:val="0AD65C26"/>
    <w:multiLevelType w:val="hybridMultilevel"/>
    <w:tmpl w:val="82FEA828"/>
    <w:lvl w:ilvl="0" w:tplc="D78245C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11286BEA"/>
    <w:multiLevelType w:val="hybridMultilevel"/>
    <w:tmpl w:val="89620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18AD6152"/>
    <w:multiLevelType w:val="hybridMultilevel"/>
    <w:tmpl w:val="C2D85E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094CC1"/>
    <w:multiLevelType w:val="hybridMultilevel"/>
    <w:tmpl w:val="AD92440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252B28B4"/>
    <w:multiLevelType w:val="hybridMultilevel"/>
    <w:tmpl w:val="67F0D3E8"/>
    <w:lvl w:ilvl="0" w:tplc="8BF82AD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259F73F1"/>
    <w:multiLevelType w:val="hybridMultilevel"/>
    <w:tmpl w:val="6B1A51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C2129EE"/>
    <w:multiLevelType w:val="hybridMultilevel"/>
    <w:tmpl w:val="67F0D3E8"/>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33515AC2"/>
    <w:multiLevelType w:val="hybridMultilevel"/>
    <w:tmpl w:val="0D34C42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396F0F72"/>
    <w:multiLevelType w:val="hybridMultilevel"/>
    <w:tmpl w:val="9CE8F89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1" w15:restartNumberingAfterBreak="0">
    <w:nsid w:val="3CD57D2D"/>
    <w:multiLevelType w:val="hybridMultilevel"/>
    <w:tmpl w:val="DB7844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3EB14EC9"/>
    <w:multiLevelType w:val="hybridMultilevel"/>
    <w:tmpl w:val="6E3205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3F4C03B4"/>
    <w:multiLevelType w:val="hybridMultilevel"/>
    <w:tmpl w:val="F6B2BB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FF25AFC"/>
    <w:multiLevelType w:val="hybridMultilevel"/>
    <w:tmpl w:val="87822A8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546741EB"/>
    <w:multiLevelType w:val="hybridMultilevel"/>
    <w:tmpl w:val="2A42A57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564A1ED8"/>
    <w:multiLevelType w:val="hybridMultilevel"/>
    <w:tmpl w:val="EA4E54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A605F68"/>
    <w:multiLevelType w:val="hybridMultilevel"/>
    <w:tmpl w:val="DD7809B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15:restartNumberingAfterBreak="0">
    <w:nsid w:val="5D4E307F"/>
    <w:multiLevelType w:val="hybridMultilevel"/>
    <w:tmpl w:val="75281B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EA76E3A"/>
    <w:multiLevelType w:val="hybridMultilevel"/>
    <w:tmpl w:val="C9462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72BC566C"/>
    <w:multiLevelType w:val="hybridMultilevel"/>
    <w:tmpl w:val="7158DDA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7B57045A"/>
    <w:multiLevelType w:val="hybridMultilevel"/>
    <w:tmpl w:val="08C0FDD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7CEB268E"/>
    <w:multiLevelType w:val="hybridMultilevel"/>
    <w:tmpl w:val="C2DAD3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7F6D5912"/>
    <w:multiLevelType w:val="hybridMultilevel"/>
    <w:tmpl w:val="8318A59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16cid:durableId="224921523">
    <w:abstractNumId w:val="4"/>
  </w:num>
  <w:num w:numId="2" w16cid:durableId="856164755">
    <w:abstractNumId w:val="21"/>
  </w:num>
  <w:num w:numId="3" w16cid:durableId="646010419">
    <w:abstractNumId w:val="13"/>
  </w:num>
  <w:num w:numId="4" w16cid:durableId="831213907">
    <w:abstractNumId w:val="1"/>
  </w:num>
  <w:num w:numId="5" w16cid:durableId="925267481">
    <w:abstractNumId w:val="18"/>
  </w:num>
  <w:num w:numId="6" w16cid:durableId="954092858">
    <w:abstractNumId w:val="19"/>
  </w:num>
  <w:num w:numId="7" w16cid:durableId="504366615">
    <w:abstractNumId w:val="17"/>
  </w:num>
  <w:num w:numId="8" w16cid:durableId="1923442249">
    <w:abstractNumId w:val="11"/>
  </w:num>
  <w:num w:numId="9" w16cid:durableId="933783203">
    <w:abstractNumId w:val="16"/>
  </w:num>
  <w:num w:numId="10" w16cid:durableId="1134180898">
    <w:abstractNumId w:val="22"/>
  </w:num>
  <w:num w:numId="11" w16cid:durableId="1536767964">
    <w:abstractNumId w:val="7"/>
  </w:num>
  <w:num w:numId="12" w16cid:durableId="309405333">
    <w:abstractNumId w:val="2"/>
  </w:num>
  <w:num w:numId="13" w16cid:durableId="1980068170">
    <w:abstractNumId w:val="23"/>
  </w:num>
  <w:num w:numId="14" w16cid:durableId="1705792568">
    <w:abstractNumId w:val="14"/>
  </w:num>
  <w:num w:numId="15" w16cid:durableId="903104214">
    <w:abstractNumId w:val="6"/>
  </w:num>
  <w:num w:numId="16" w16cid:durableId="1988242693">
    <w:abstractNumId w:val="15"/>
  </w:num>
  <w:num w:numId="17" w16cid:durableId="1785490949">
    <w:abstractNumId w:val="0"/>
  </w:num>
  <w:num w:numId="18" w16cid:durableId="935214971">
    <w:abstractNumId w:val="8"/>
  </w:num>
  <w:num w:numId="19" w16cid:durableId="2106029138">
    <w:abstractNumId w:val="12"/>
  </w:num>
  <w:num w:numId="20" w16cid:durableId="552618308">
    <w:abstractNumId w:val="20"/>
  </w:num>
  <w:num w:numId="21" w16cid:durableId="69430917">
    <w:abstractNumId w:val="9"/>
  </w:num>
  <w:num w:numId="22" w16cid:durableId="1145898511">
    <w:abstractNumId w:val="3"/>
  </w:num>
  <w:num w:numId="23" w16cid:durableId="1622607092">
    <w:abstractNumId w:val="10"/>
  </w:num>
  <w:num w:numId="24" w16cid:durableId="21497526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0AD0"/>
    <w:rsid w:val="00035F60"/>
    <w:rsid w:val="0004391E"/>
    <w:rsid w:val="00045F73"/>
    <w:rsid w:val="00071777"/>
    <w:rsid w:val="0007586A"/>
    <w:rsid w:val="0009756C"/>
    <w:rsid w:val="00097D62"/>
    <w:rsid w:val="000A591D"/>
    <w:rsid w:val="000B0DED"/>
    <w:rsid w:val="000B12B5"/>
    <w:rsid w:val="000C0AD0"/>
    <w:rsid w:val="000D616A"/>
    <w:rsid w:val="000E4366"/>
    <w:rsid w:val="000E79C1"/>
    <w:rsid w:val="0011700C"/>
    <w:rsid w:val="00164656"/>
    <w:rsid w:val="001760E9"/>
    <w:rsid w:val="00181DED"/>
    <w:rsid w:val="00187E2E"/>
    <w:rsid w:val="0019297B"/>
    <w:rsid w:val="001964A8"/>
    <w:rsid w:val="001A3525"/>
    <w:rsid w:val="00232447"/>
    <w:rsid w:val="00251D05"/>
    <w:rsid w:val="00274AB9"/>
    <w:rsid w:val="00294D0B"/>
    <w:rsid w:val="002D2EA2"/>
    <w:rsid w:val="002D718A"/>
    <w:rsid w:val="002F3DE0"/>
    <w:rsid w:val="002F49FA"/>
    <w:rsid w:val="003051E2"/>
    <w:rsid w:val="00315674"/>
    <w:rsid w:val="0033657C"/>
    <w:rsid w:val="003839B3"/>
    <w:rsid w:val="003B4DB2"/>
    <w:rsid w:val="003B7B51"/>
    <w:rsid w:val="003C00CF"/>
    <w:rsid w:val="003E54ED"/>
    <w:rsid w:val="004151BC"/>
    <w:rsid w:val="0046477D"/>
    <w:rsid w:val="00495466"/>
    <w:rsid w:val="004A0B6E"/>
    <w:rsid w:val="004B2581"/>
    <w:rsid w:val="004C00FD"/>
    <w:rsid w:val="004E08B7"/>
    <w:rsid w:val="004F1E6A"/>
    <w:rsid w:val="005068E0"/>
    <w:rsid w:val="00546830"/>
    <w:rsid w:val="0055154A"/>
    <w:rsid w:val="005907A0"/>
    <w:rsid w:val="00591A54"/>
    <w:rsid w:val="005E0666"/>
    <w:rsid w:val="005E7FA0"/>
    <w:rsid w:val="00640A81"/>
    <w:rsid w:val="006512F5"/>
    <w:rsid w:val="00667D22"/>
    <w:rsid w:val="006765E7"/>
    <w:rsid w:val="00686F8E"/>
    <w:rsid w:val="00696B34"/>
    <w:rsid w:val="006B1614"/>
    <w:rsid w:val="006D05C6"/>
    <w:rsid w:val="006D73FC"/>
    <w:rsid w:val="00715DBF"/>
    <w:rsid w:val="00730AA5"/>
    <w:rsid w:val="0073540F"/>
    <w:rsid w:val="007468F0"/>
    <w:rsid w:val="007679AC"/>
    <w:rsid w:val="00770584"/>
    <w:rsid w:val="0079779F"/>
    <w:rsid w:val="007A1ECF"/>
    <w:rsid w:val="007C021C"/>
    <w:rsid w:val="007D148A"/>
    <w:rsid w:val="007D2A33"/>
    <w:rsid w:val="007D5117"/>
    <w:rsid w:val="007E61BB"/>
    <w:rsid w:val="00813D4C"/>
    <w:rsid w:val="00824AAF"/>
    <w:rsid w:val="0083234F"/>
    <w:rsid w:val="00863117"/>
    <w:rsid w:val="008932B0"/>
    <w:rsid w:val="008959BC"/>
    <w:rsid w:val="008A11F1"/>
    <w:rsid w:val="008E2918"/>
    <w:rsid w:val="008F6A9C"/>
    <w:rsid w:val="009415D9"/>
    <w:rsid w:val="0097015D"/>
    <w:rsid w:val="009A1B16"/>
    <w:rsid w:val="009A596A"/>
    <w:rsid w:val="009A6336"/>
    <w:rsid w:val="009B01BC"/>
    <w:rsid w:val="009C172B"/>
    <w:rsid w:val="00A01926"/>
    <w:rsid w:val="00A129C3"/>
    <w:rsid w:val="00A146A2"/>
    <w:rsid w:val="00A22985"/>
    <w:rsid w:val="00A30AEB"/>
    <w:rsid w:val="00A3200D"/>
    <w:rsid w:val="00A45B1B"/>
    <w:rsid w:val="00A64980"/>
    <w:rsid w:val="00A815C6"/>
    <w:rsid w:val="00AC666E"/>
    <w:rsid w:val="00AD260D"/>
    <w:rsid w:val="00AE41D2"/>
    <w:rsid w:val="00AF159F"/>
    <w:rsid w:val="00AF4CCE"/>
    <w:rsid w:val="00B01EDA"/>
    <w:rsid w:val="00B26FC9"/>
    <w:rsid w:val="00B66BBF"/>
    <w:rsid w:val="00B81B83"/>
    <w:rsid w:val="00B822C1"/>
    <w:rsid w:val="00B852BF"/>
    <w:rsid w:val="00B94B01"/>
    <w:rsid w:val="00B95230"/>
    <w:rsid w:val="00BB5ABC"/>
    <w:rsid w:val="00BB5DC9"/>
    <w:rsid w:val="00BB77AF"/>
    <w:rsid w:val="00BE0F41"/>
    <w:rsid w:val="00BE3115"/>
    <w:rsid w:val="00BE49B5"/>
    <w:rsid w:val="00C11506"/>
    <w:rsid w:val="00C2501A"/>
    <w:rsid w:val="00C27E32"/>
    <w:rsid w:val="00C322E2"/>
    <w:rsid w:val="00C635BA"/>
    <w:rsid w:val="00C63796"/>
    <w:rsid w:val="00C66677"/>
    <w:rsid w:val="00C95A2B"/>
    <w:rsid w:val="00D24B0B"/>
    <w:rsid w:val="00D331A0"/>
    <w:rsid w:val="00D50DC4"/>
    <w:rsid w:val="00D90062"/>
    <w:rsid w:val="00DD3D67"/>
    <w:rsid w:val="00E00318"/>
    <w:rsid w:val="00E217DF"/>
    <w:rsid w:val="00E51E7D"/>
    <w:rsid w:val="00E8282D"/>
    <w:rsid w:val="00EC646F"/>
    <w:rsid w:val="00F02319"/>
    <w:rsid w:val="00F064C4"/>
    <w:rsid w:val="00F122A9"/>
    <w:rsid w:val="00F17378"/>
    <w:rsid w:val="00F2228A"/>
    <w:rsid w:val="00F548F5"/>
    <w:rsid w:val="00F82A29"/>
    <w:rsid w:val="00FA1771"/>
    <w:rsid w:val="00FB0D18"/>
    <w:rsid w:val="00FC1557"/>
    <w:rsid w:val="00FC46F1"/>
    <w:rsid w:val="00FD733E"/>
    <w:rsid w:val="00FE057B"/>
    <w:rsid w:val="00FE38C2"/>
    <w:rsid w:val="00FF68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9A695"/>
  <w15:chartTrackingRefBased/>
  <w15:docId w15:val="{E5830C8C-8F4E-4DCE-9AC2-EADE893EF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68E0"/>
    <w:pPr>
      <w:spacing w:before="120"/>
      <w:ind w:firstLine="567"/>
      <w:jc w:val="both"/>
    </w:pPr>
    <w:rPr>
      <w:sz w:val="24"/>
    </w:rPr>
  </w:style>
  <w:style w:type="paragraph" w:styleId="1">
    <w:name w:val="heading 1"/>
    <w:basedOn w:val="a"/>
    <w:next w:val="a"/>
    <w:link w:val="10"/>
    <w:uiPriority w:val="9"/>
    <w:qFormat/>
    <w:rsid w:val="007679AC"/>
    <w:pPr>
      <w:keepNext/>
      <w:keepLines/>
      <w:spacing w:before="240" w:after="0"/>
      <w:outlineLvl w:val="0"/>
    </w:pPr>
    <w:rPr>
      <w:rFonts w:asciiTheme="majorHAnsi" w:eastAsiaTheme="majorEastAsia" w:hAnsiTheme="majorHAnsi" w:cstheme="majorBidi"/>
      <w:sz w:val="32"/>
      <w:szCs w:val="32"/>
    </w:rPr>
  </w:style>
  <w:style w:type="paragraph" w:styleId="2">
    <w:name w:val="heading 2"/>
    <w:basedOn w:val="a"/>
    <w:next w:val="a"/>
    <w:link w:val="20"/>
    <w:uiPriority w:val="9"/>
    <w:unhideWhenUsed/>
    <w:qFormat/>
    <w:rsid w:val="007679AC"/>
    <w:pPr>
      <w:keepNext/>
      <w:keepLines/>
      <w:spacing w:before="240" w:after="120"/>
      <w:ind w:firstLine="0"/>
      <w:outlineLvl w:val="1"/>
    </w:pPr>
    <w:rPr>
      <w:rFonts w:asciiTheme="majorHAnsi" w:eastAsiaTheme="majorEastAsia" w:hAnsiTheme="majorHAnsi" w:cstheme="majorBidi"/>
      <w:b/>
      <w:szCs w:val="26"/>
    </w:rPr>
  </w:style>
  <w:style w:type="paragraph" w:styleId="4">
    <w:name w:val="heading 4"/>
    <w:basedOn w:val="a"/>
    <w:next w:val="a"/>
    <w:link w:val="40"/>
    <w:uiPriority w:val="9"/>
    <w:semiHidden/>
    <w:unhideWhenUsed/>
    <w:qFormat/>
    <w:rsid w:val="007679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C0AD0"/>
    <w:pPr>
      <w:spacing w:after="0" w:line="240" w:lineRule="auto"/>
      <w:ind w:firstLine="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C0AD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C0AD0"/>
    <w:pPr>
      <w:numPr>
        <w:ilvl w:val="1"/>
      </w:numPr>
      <w:ind w:firstLine="567"/>
    </w:pPr>
    <w:rPr>
      <w:rFonts w:eastAsiaTheme="minorEastAsia"/>
      <w:color w:val="5A5A5A" w:themeColor="text1" w:themeTint="A5"/>
      <w:spacing w:val="15"/>
      <w:sz w:val="44"/>
    </w:rPr>
  </w:style>
  <w:style w:type="character" w:customStyle="1" w:styleId="a6">
    <w:name w:val="Подзаголовок Знак"/>
    <w:basedOn w:val="a0"/>
    <w:link w:val="a5"/>
    <w:uiPriority w:val="11"/>
    <w:rsid w:val="000C0AD0"/>
    <w:rPr>
      <w:rFonts w:eastAsiaTheme="minorEastAsia"/>
      <w:color w:val="5A5A5A" w:themeColor="text1" w:themeTint="A5"/>
      <w:spacing w:val="15"/>
      <w:sz w:val="44"/>
    </w:rPr>
  </w:style>
  <w:style w:type="character" w:customStyle="1" w:styleId="10">
    <w:name w:val="Заголовок 1 Знак"/>
    <w:basedOn w:val="a0"/>
    <w:link w:val="1"/>
    <w:uiPriority w:val="9"/>
    <w:rsid w:val="007679AC"/>
    <w:rPr>
      <w:rFonts w:asciiTheme="majorHAnsi" w:eastAsiaTheme="majorEastAsia" w:hAnsiTheme="majorHAnsi" w:cstheme="majorBidi"/>
      <w:sz w:val="32"/>
      <w:szCs w:val="32"/>
    </w:rPr>
  </w:style>
  <w:style w:type="paragraph" w:styleId="a7">
    <w:name w:val="List Paragraph"/>
    <w:basedOn w:val="a"/>
    <w:uiPriority w:val="34"/>
    <w:qFormat/>
    <w:rsid w:val="000C0AD0"/>
    <w:pPr>
      <w:ind w:left="720"/>
      <w:contextualSpacing/>
    </w:pPr>
  </w:style>
  <w:style w:type="character" w:styleId="a8">
    <w:name w:val="Hyperlink"/>
    <w:basedOn w:val="a0"/>
    <w:uiPriority w:val="99"/>
    <w:unhideWhenUsed/>
    <w:rsid w:val="003B7B51"/>
    <w:rPr>
      <w:color w:val="0563C1" w:themeColor="hyperlink"/>
      <w:u w:val="single"/>
    </w:rPr>
  </w:style>
  <w:style w:type="paragraph" w:styleId="a9">
    <w:name w:val="No Spacing"/>
    <w:uiPriority w:val="1"/>
    <w:qFormat/>
    <w:rsid w:val="004A0B6E"/>
    <w:pPr>
      <w:spacing w:after="0" w:line="240" w:lineRule="auto"/>
      <w:ind w:firstLine="567"/>
      <w:jc w:val="both"/>
    </w:pPr>
    <w:rPr>
      <w:sz w:val="26"/>
    </w:rPr>
  </w:style>
  <w:style w:type="character" w:styleId="aa">
    <w:name w:val="annotation reference"/>
    <w:basedOn w:val="a0"/>
    <w:uiPriority w:val="99"/>
    <w:semiHidden/>
    <w:unhideWhenUsed/>
    <w:rsid w:val="003B4DB2"/>
    <w:rPr>
      <w:sz w:val="16"/>
      <w:szCs w:val="16"/>
    </w:rPr>
  </w:style>
  <w:style w:type="paragraph" w:styleId="ab">
    <w:name w:val="annotation text"/>
    <w:basedOn w:val="a"/>
    <w:link w:val="ac"/>
    <w:uiPriority w:val="99"/>
    <w:semiHidden/>
    <w:unhideWhenUsed/>
    <w:rsid w:val="003B4DB2"/>
    <w:pPr>
      <w:spacing w:line="240" w:lineRule="auto"/>
    </w:pPr>
    <w:rPr>
      <w:sz w:val="20"/>
      <w:szCs w:val="20"/>
    </w:rPr>
  </w:style>
  <w:style w:type="character" w:customStyle="1" w:styleId="ac">
    <w:name w:val="Текст примечания Знак"/>
    <w:basedOn w:val="a0"/>
    <w:link w:val="ab"/>
    <w:uiPriority w:val="99"/>
    <w:semiHidden/>
    <w:rsid w:val="003B4DB2"/>
    <w:rPr>
      <w:sz w:val="20"/>
      <w:szCs w:val="20"/>
    </w:rPr>
  </w:style>
  <w:style w:type="paragraph" w:styleId="ad">
    <w:name w:val="annotation subject"/>
    <w:basedOn w:val="ab"/>
    <w:next w:val="ab"/>
    <w:link w:val="ae"/>
    <w:uiPriority w:val="99"/>
    <w:semiHidden/>
    <w:unhideWhenUsed/>
    <w:rsid w:val="003B4DB2"/>
    <w:rPr>
      <w:b/>
      <w:bCs/>
    </w:rPr>
  </w:style>
  <w:style w:type="character" w:customStyle="1" w:styleId="ae">
    <w:name w:val="Тема примечания Знак"/>
    <w:basedOn w:val="ac"/>
    <w:link w:val="ad"/>
    <w:uiPriority w:val="99"/>
    <w:semiHidden/>
    <w:rsid w:val="003B4DB2"/>
    <w:rPr>
      <w:b/>
      <w:bCs/>
      <w:sz w:val="20"/>
      <w:szCs w:val="20"/>
    </w:rPr>
  </w:style>
  <w:style w:type="paragraph" w:styleId="af">
    <w:name w:val="Balloon Text"/>
    <w:basedOn w:val="a"/>
    <w:link w:val="af0"/>
    <w:uiPriority w:val="99"/>
    <w:semiHidden/>
    <w:unhideWhenUsed/>
    <w:rsid w:val="003B4DB2"/>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3B4DB2"/>
    <w:rPr>
      <w:rFonts w:ascii="Segoe UI" w:hAnsi="Segoe UI" w:cs="Segoe UI"/>
      <w:sz w:val="18"/>
      <w:szCs w:val="18"/>
    </w:rPr>
  </w:style>
  <w:style w:type="character" w:styleId="af1">
    <w:name w:val="Unresolved Mention"/>
    <w:basedOn w:val="a0"/>
    <w:uiPriority w:val="99"/>
    <w:semiHidden/>
    <w:unhideWhenUsed/>
    <w:rsid w:val="00FC1557"/>
    <w:rPr>
      <w:color w:val="605E5C"/>
      <w:shd w:val="clear" w:color="auto" w:fill="E1DFDD"/>
    </w:rPr>
  </w:style>
  <w:style w:type="paragraph" w:styleId="af2">
    <w:name w:val="TOC Heading"/>
    <w:basedOn w:val="1"/>
    <w:next w:val="a"/>
    <w:uiPriority w:val="39"/>
    <w:unhideWhenUsed/>
    <w:qFormat/>
    <w:rsid w:val="009C172B"/>
    <w:pPr>
      <w:ind w:firstLine="0"/>
      <w:jc w:val="left"/>
      <w:outlineLvl w:val="9"/>
    </w:pPr>
    <w:rPr>
      <w:b/>
      <w:color w:val="2F5496" w:themeColor="accent1" w:themeShade="BF"/>
      <w:lang w:eastAsia="ru-RU"/>
    </w:rPr>
  </w:style>
  <w:style w:type="paragraph" w:styleId="11">
    <w:name w:val="toc 1"/>
    <w:basedOn w:val="a"/>
    <w:next w:val="a"/>
    <w:autoRedefine/>
    <w:uiPriority w:val="39"/>
    <w:unhideWhenUsed/>
    <w:rsid w:val="00181DED"/>
    <w:pPr>
      <w:tabs>
        <w:tab w:val="right" w:leader="dot" w:pos="9345"/>
      </w:tabs>
      <w:spacing w:after="100"/>
      <w:ind w:firstLine="0"/>
    </w:pPr>
  </w:style>
  <w:style w:type="paragraph" w:styleId="af3">
    <w:name w:val="caption"/>
    <w:basedOn w:val="a"/>
    <w:next w:val="a"/>
    <w:uiPriority w:val="35"/>
    <w:unhideWhenUsed/>
    <w:qFormat/>
    <w:rsid w:val="004B2581"/>
    <w:pPr>
      <w:spacing w:after="200" w:line="240" w:lineRule="auto"/>
      <w:ind w:firstLine="0"/>
      <w:jc w:val="center"/>
    </w:pPr>
    <w:rPr>
      <w:i/>
      <w:iCs/>
      <w:szCs w:val="18"/>
    </w:rPr>
  </w:style>
  <w:style w:type="character" w:customStyle="1" w:styleId="20">
    <w:name w:val="Заголовок 2 Знак"/>
    <w:basedOn w:val="a0"/>
    <w:link w:val="2"/>
    <w:uiPriority w:val="9"/>
    <w:rsid w:val="007679AC"/>
    <w:rPr>
      <w:rFonts w:asciiTheme="majorHAnsi" w:eastAsiaTheme="majorEastAsia" w:hAnsiTheme="majorHAnsi" w:cstheme="majorBidi"/>
      <w:b/>
      <w:sz w:val="24"/>
      <w:szCs w:val="26"/>
    </w:rPr>
  </w:style>
  <w:style w:type="paragraph" w:styleId="21">
    <w:name w:val="toc 2"/>
    <w:basedOn w:val="a"/>
    <w:next w:val="a"/>
    <w:autoRedefine/>
    <w:uiPriority w:val="39"/>
    <w:unhideWhenUsed/>
    <w:rsid w:val="00C322E2"/>
    <w:pPr>
      <w:spacing w:after="100"/>
      <w:ind w:left="260"/>
    </w:pPr>
  </w:style>
  <w:style w:type="paragraph" w:styleId="af4">
    <w:name w:val="header"/>
    <w:basedOn w:val="a"/>
    <w:link w:val="af5"/>
    <w:uiPriority w:val="99"/>
    <w:unhideWhenUsed/>
    <w:rsid w:val="00B26FC9"/>
    <w:pPr>
      <w:tabs>
        <w:tab w:val="center" w:pos="4677"/>
        <w:tab w:val="right" w:pos="9355"/>
      </w:tabs>
      <w:spacing w:after="0" w:line="240" w:lineRule="auto"/>
    </w:pPr>
  </w:style>
  <w:style w:type="character" w:customStyle="1" w:styleId="af5">
    <w:name w:val="Верхний колонтитул Знак"/>
    <w:basedOn w:val="a0"/>
    <w:link w:val="af4"/>
    <w:uiPriority w:val="99"/>
    <w:rsid w:val="00B26FC9"/>
    <w:rPr>
      <w:sz w:val="26"/>
    </w:rPr>
  </w:style>
  <w:style w:type="paragraph" w:styleId="af6">
    <w:name w:val="footer"/>
    <w:basedOn w:val="a"/>
    <w:link w:val="af7"/>
    <w:uiPriority w:val="99"/>
    <w:unhideWhenUsed/>
    <w:rsid w:val="00B26FC9"/>
    <w:pPr>
      <w:tabs>
        <w:tab w:val="center" w:pos="4677"/>
        <w:tab w:val="right" w:pos="9355"/>
      </w:tabs>
      <w:spacing w:after="0" w:line="240" w:lineRule="auto"/>
    </w:pPr>
  </w:style>
  <w:style w:type="character" w:customStyle="1" w:styleId="af7">
    <w:name w:val="Нижний колонтитул Знак"/>
    <w:basedOn w:val="a0"/>
    <w:link w:val="af6"/>
    <w:uiPriority w:val="99"/>
    <w:rsid w:val="00B26FC9"/>
    <w:rPr>
      <w:sz w:val="26"/>
    </w:rPr>
  </w:style>
  <w:style w:type="character" w:customStyle="1" w:styleId="40">
    <w:name w:val="Заголовок 4 Знак"/>
    <w:basedOn w:val="a0"/>
    <w:link w:val="4"/>
    <w:uiPriority w:val="9"/>
    <w:semiHidden/>
    <w:rsid w:val="007679AC"/>
    <w:rPr>
      <w:rFonts w:asciiTheme="majorHAnsi" w:eastAsiaTheme="majorEastAsia" w:hAnsiTheme="majorHAnsi" w:cstheme="majorBidi"/>
      <w:i/>
      <w:iCs/>
      <w:color w:val="2F5496" w:themeColor="accent1" w:themeShade="BF"/>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964861">
      <w:bodyDiv w:val="1"/>
      <w:marLeft w:val="0"/>
      <w:marRight w:val="0"/>
      <w:marTop w:val="0"/>
      <w:marBottom w:val="0"/>
      <w:divBdr>
        <w:top w:val="none" w:sz="0" w:space="0" w:color="auto"/>
        <w:left w:val="none" w:sz="0" w:space="0" w:color="auto"/>
        <w:bottom w:val="none" w:sz="0" w:space="0" w:color="auto"/>
        <w:right w:val="none" w:sz="0" w:space="0" w:color="auto"/>
      </w:divBdr>
    </w:div>
    <w:div w:id="490416118">
      <w:bodyDiv w:val="1"/>
      <w:marLeft w:val="0"/>
      <w:marRight w:val="0"/>
      <w:marTop w:val="0"/>
      <w:marBottom w:val="0"/>
      <w:divBdr>
        <w:top w:val="none" w:sz="0" w:space="0" w:color="auto"/>
        <w:left w:val="none" w:sz="0" w:space="0" w:color="auto"/>
        <w:bottom w:val="none" w:sz="0" w:space="0" w:color="auto"/>
        <w:right w:val="none" w:sz="0" w:space="0" w:color="auto"/>
      </w:divBdr>
    </w:div>
    <w:div w:id="953749648">
      <w:bodyDiv w:val="1"/>
      <w:marLeft w:val="0"/>
      <w:marRight w:val="0"/>
      <w:marTop w:val="0"/>
      <w:marBottom w:val="0"/>
      <w:divBdr>
        <w:top w:val="none" w:sz="0" w:space="0" w:color="auto"/>
        <w:left w:val="none" w:sz="0" w:space="0" w:color="auto"/>
        <w:bottom w:val="none" w:sz="0" w:space="0" w:color="auto"/>
        <w:right w:val="none" w:sz="0" w:space="0" w:color="auto"/>
      </w:divBdr>
      <w:divsChild>
        <w:div w:id="665942890">
          <w:marLeft w:val="0"/>
          <w:marRight w:val="0"/>
          <w:marTop w:val="0"/>
          <w:marBottom w:val="0"/>
          <w:divBdr>
            <w:top w:val="none" w:sz="0" w:space="0" w:color="auto"/>
            <w:left w:val="none" w:sz="0" w:space="0" w:color="auto"/>
            <w:bottom w:val="none" w:sz="0" w:space="0" w:color="auto"/>
            <w:right w:val="none" w:sz="0" w:space="0" w:color="auto"/>
          </w:divBdr>
          <w:divsChild>
            <w:div w:id="8477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37693">
      <w:bodyDiv w:val="1"/>
      <w:marLeft w:val="0"/>
      <w:marRight w:val="0"/>
      <w:marTop w:val="0"/>
      <w:marBottom w:val="0"/>
      <w:divBdr>
        <w:top w:val="none" w:sz="0" w:space="0" w:color="auto"/>
        <w:left w:val="none" w:sz="0" w:space="0" w:color="auto"/>
        <w:bottom w:val="none" w:sz="0" w:space="0" w:color="auto"/>
        <w:right w:val="none" w:sz="0" w:space="0" w:color="auto"/>
      </w:divBdr>
    </w:div>
    <w:div w:id="1214346810">
      <w:bodyDiv w:val="1"/>
      <w:marLeft w:val="0"/>
      <w:marRight w:val="0"/>
      <w:marTop w:val="0"/>
      <w:marBottom w:val="0"/>
      <w:divBdr>
        <w:top w:val="none" w:sz="0" w:space="0" w:color="auto"/>
        <w:left w:val="none" w:sz="0" w:space="0" w:color="auto"/>
        <w:bottom w:val="none" w:sz="0" w:space="0" w:color="auto"/>
        <w:right w:val="none" w:sz="0" w:space="0" w:color="auto"/>
      </w:divBdr>
    </w:div>
    <w:div w:id="1228305259">
      <w:bodyDiv w:val="1"/>
      <w:marLeft w:val="0"/>
      <w:marRight w:val="0"/>
      <w:marTop w:val="0"/>
      <w:marBottom w:val="0"/>
      <w:divBdr>
        <w:top w:val="none" w:sz="0" w:space="0" w:color="auto"/>
        <w:left w:val="none" w:sz="0" w:space="0" w:color="auto"/>
        <w:bottom w:val="none" w:sz="0" w:space="0" w:color="auto"/>
        <w:right w:val="none" w:sz="0" w:space="0" w:color="auto"/>
      </w:divBdr>
    </w:div>
    <w:div w:id="1286278065">
      <w:bodyDiv w:val="1"/>
      <w:marLeft w:val="0"/>
      <w:marRight w:val="0"/>
      <w:marTop w:val="0"/>
      <w:marBottom w:val="0"/>
      <w:divBdr>
        <w:top w:val="none" w:sz="0" w:space="0" w:color="auto"/>
        <w:left w:val="none" w:sz="0" w:space="0" w:color="auto"/>
        <w:bottom w:val="none" w:sz="0" w:space="0" w:color="auto"/>
        <w:right w:val="none" w:sz="0" w:space="0" w:color="auto"/>
      </w:divBdr>
    </w:div>
    <w:div w:id="1408185524">
      <w:bodyDiv w:val="1"/>
      <w:marLeft w:val="0"/>
      <w:marRight w:val="0"/>
      <w:marTop w:val="0"/>
      <w:marBottom w:val="0"/>
      <w:divBdr>
        <w:top w:val="none" w:sz="0" w:space="0" w:color="auto"/>
        <w:left w:val="none" w:sz="0" w:space="0" w:color="auto"/>
        <w:bottom w:val="none" w:sz="0" w:space="0" w:color="auto"/>
        <w:right w:val="none" w:sz="0" w:space="0" w:color="auto"/>
      </w:divBdr>
    </w:div>
    <w:div w:id="1579944770">
      <w:bodyDiv w:val="1"/>
      <w:marLeft w:val="0"/>
      <w:marRight w:val="0"/>
      <w:marTop w:val="0"/>
      <w:marBottom w:val="0"/>
      <w:divBdr>
        <w:top w:val="none" w:sz="0" w:space="0" w:color="auto"/>
        <w:left w:val="none" w:sz="0" w:space="0" w:color="auto"/>
        <w:bottom w:val="none" w:sz="0" w:space="0" w:color="auto"/>
        <w:right w:val="none" w:sz="0" w:space="0" w:color="auto"/>
      </w:divBdr>
    </w:div>
    <w:div w:id="1583173007">
      <w:bodyDiv w:val="1"/>
      <w:marLeft w:val="0"/>
      <w:marRight w:val="0"/>
      <w:marTop w:val="0"/>
      <w:marBottom w:val="0"/>
      <w:divBdr>
        <w:top w:val="none" w:sz="0" w:space="0" w:color="auto"/>
        <w:left w:val="none" w:sz="0" w:space="0" w:color="auto"/>
        <w:bottom w:val="none" w:sz="0" w:space="0" w:color="auto"/>
        <w:right w:val="none" w:sz="0" w:space="0" w:color="auto"/>
      </w:divBdr>
    </w:div>
    <w:div w:id="2011255919">
      <w:bodyDiv w:val="1"/>
      <w:marLeft w:val="0"/>
      <w:marRight w:val="0"/>
      <w:marTop w:val="0"/>
      <w:marBottom w:val="0"/>
      <w:divBdr>
        <w:top w:val="none" w:sz="0" w:space="0" w:color="auto"/>
        <w:left w:val="none" w:sz="0" w:space="0" w:color="auto"/>
        <w:bottom w:val="none" w:sz="0" w:space="0" w:color="auto"/>
        <w:right w:val="none" w:sz="0" w:space="0" w:color="auto"/>
      </w:divBdr>
    </w:div>
    <w:div w:id="2131974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4271-354E-44DB-B02A-319E4C4E5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1628</Words>
  <Characters>9281</Characters>
  <Application>Microsoft Office Word</Application>
  <DocSecurity>0</DocSecurity>
  <Lines>77</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Smirnov</dc:creator>
  <cp:keywords/>
  <dc:description/>
  <cp:lastModifiedBy>Смирнов Илья Валерьевич</cp:lastModifiedBy>
  <cp:revision>9</cp:revision>
  <cp:lastPrinted>2025-02-27T22:45:00Z</cp:lastPrinted>
  <dcterms:created xsi:type="dcterms:W3CDTF">2025-02-25T21:57:00Z</dcterms:created>
  <dcterms:modified xsi:type="dcterms:W3CDTF">2025-02-27T22:45:00Z</dcterms:modified>
</cp:coreProperties>
</file>