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Company code country differs vendor's country ( SW_10_06_LAND_COMPAR)</w:t>
      </w:r>
    </w:p>
    <w:p/>
    <w:p>
      <w:pPr>
        <w:pStyle w:val="Heading2"/>
      </w:pPr>
      <w:r>
        <w:t>General Overview</w:t>
      </w:r>
    </w:p>
    <w:p>
      <w:r>
        <w:rPr>
          <w:color w:val="000000"/>
        </w:rPr>
        <w:t>This Exception Indicator finds vendor company-code records where the vendor’s country on the business partner master differs from the country of the assigned company code.</w:t>
      </w:r>
    </w:p>
    <w:p>
      <w:r>
        <w:rPr>
          <w:color w:val="000000"/>
        </w:rPr>
        <w:t>This EI serves as an essential control for master data and accounts payable quality by:</w:t>
      </w:r>
    </w:p>
    <w:p>
      <w:pPr>
        <w:pStyle w:val="ListBullet"/>
      </w:pPr>
      <w:r>
        <w:rPr>
          <w:color w:val="000000"/>
        </w:rPr>
        <w:t>Detecting cross-border vendor–company code combinations that may affect tax, payment, or compliance rules</w:t>
      </w:r>
    </w:p>
    <w:p>
      <w:pPr>
        <w:pStyle w:val="ListBullet"/>
      </w:pPr>
      <w:r>
        <w:rPr>
          <w:color w:val="000000"/>
        </w:rPr>
        <w:t>Supporting review of newly created or recently changed vendor company-code records</w:t>
      </w:r>
    </w:p>
    <w:p>
      <w:pPr>
        <w:pStyle w:val="ListBullet"/>
      </w:pPr>
      <w:r>
        <w:rPr>
          <w:color w:val="000000"/>
        </w:rPr>
        <w:t>Enabling filters by vendor, company code, and vendor country before exceptions are raised</w:t>
      </w:r>
    </w:p>
    <w:p>
      <w:pPr>
        <w:pStyle w:val="ListBullet"/>
      </w:pPr>
      <w:r>
        <w:rPr>
          <w:color w:val="000000"/>
        </w:rPr>
        <w:t>Providing vendor name and both country keys for straightforward remediation</w:t>
      </w:r>
    </w:p>
    <w:p>
      <w:pPr>
        <w:pStyle w:val="ListBullet"/>
      </w:pPr>
      <w:r>
        <w:rPr>
          <w:color w:val="000000"/>
        </w:rPr>
        <w:t>Reducing payment and reporting risk from mismatched geographic master data</w:t>
      </w:r>
    </w:p>
    <w:p>
      <w:r>
        <w:rPr>
          <w:color w:val="000000"/>
        </w:rPr>
        <w:t>Typical use includes vendor master reviews, post-migration checks, and periodic compliance sampling. Results are intended for exception workflows rather than full vendor extracts.</w:t>
      </w:r>
    </w:p>
    <w:p>
      <w:r>
        <w:rPr>
          <w:color w:val="000000"/>
        </w:rPr>
        <w:t>The routine reads vendor company-code data joined to vendor general data and company code country, applies selection filters, and raises an alert when at least one country mismatch remains.</w:t>
      </w:r>
    </w:p>
    <w:p/>
    <w:p>
      <w:pPr>
        <w:pStyle w:val="Heading2"/>
      </w:pPr>
      <w:r>
        <w:t>Problem Description</w:t>
      </w:r>
    </w:p>
    <w:p>
      <w:r>
        <w:rPr>
          <w:color w:val="000000"/>
        </w:rPr>
        <w:t>When a vendor’s country does not match the country of the company code they are extended to, tax, banking, and regulatory treatment can be wrong while the master record still appears complete.</w:t>
      </w:r>
    </w:p>
    <w:p>
      <w:r>
        <w:rPr>
          <w:b/>
          <w:color w:val="000000"/>
        </w:rPr>
        <w:t>Master Data and Compliance Risks</w:t>
      </w:r>
    </w:p>
    <w:p>
      <w:r>
        <w:rPr>
          <w:color w:val="000000"/>
        </w:rPr>
        <w:t>Cross-border vendor–company code pairs may use incorrect tax or payment rules</w:t>
      </w:r>
    </w:p>
    <w:p>
      <w:r>
        <w:rPr>
          <w:color w:val="000000"/>
        </w:rPr>
        <w:t>New or changed vendor company-code records can go live before country alignment is validated</w:t>
      </w:r>
    </w:p>
    <w:p>
      <w:r>
        <w:rPr>
          <w:color w:val="000000"/>
        </w:rPr>
        <w:t>High vendor volumes make manual comparison of general versus company code country impractical</w:t>
      </w:r>
    </w:p>
    <w:p>
      <w:r>
        <w:rPr>
          <w:b/>
          <w:color w:val="000000"/>
        </w:rPr>
        <w:t>Operational Risks</w:t>
      </w:r>
    </w:p>
    <w:p>
      <w:r>
        <w:rPr>
          <w:color w:val="000000"/>
        </w:rPr>
        <w:t>Forward-day and backward-day window settings that are misaligned can miss recent creations or include obsolete records</w:t>
      </w:r>
    </w:p>
    <w:p>
      <w:r>
        <w:rPr>
          <w:color w:val="000000"/>
        </w:rPr>
        <w:t>Empty creation-date selection relies on the monitoring window; explicit date ranges override that behavior</w:t>
      </w:r>
    </w:p>
    <w:p>
      <w:r>
        <w:rPr>
          <w:b/>
          <w:color w:val="000000"/>
        </w:rPr>
        <w:t>Control and Audit Risks</w:t>
      </w:r>
    </w:p>
    <w:p>
      <w:r>
        <w:rPr>
          <w:color w:val="000000"/>
        </w:rPr>
        <w:t>Weak monitoring reduces evidence that country mismatches were reviewed before payments or reporting</w:t>
      </w:r>
    </w:p>
    <w:p>
      <w:r>
        <w:rPr>
          <w:color w:val="000000"/>
        </w:rPr>
        <w:t>Unclear forward-day interaction with backward days can confuse teams tuning the time window</w:t>
      </w:r>
    </w:p>
    <w:p/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vendors, company codes, vendor country, company country, and creation dates</w:t>
      </w:r>
    </w:p>
    <w:p>
      <w:r>
        <w:rPr>
          <w:color w:val="000000"/>
        </w:rPr>
        <w:t>Confirm with master-data owners whether the country pairing is valid for the business relationship</w:t>
      </w:r>
    </w:p>
    <w:p>
      <w:r>
        <w:rPr>
          <w:color w:val="000000"/>
        </w:rPr>
        <w:t>Prioritize vendors with open items or recent payment activity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Compare exception counts by company code and vendor country to find systematic data gaps</w:t>
      </w:r>
    </w:p>
    <w:p>
      <w:r>
        <w:rPr>
          <w:color w:val="000000"/>
        </w:rPr>
        <w:t>Validate creation-date windows and forward-day settings against how the team defines “new” vendors</w:t>
      </w:r>
    </w:p>
    <w:p>
      <w:r>
        <w:rPr>
          <w:color w:val="000000"/>
        </w:rPr>
        <w:t>Check whether vendor or company code filters should narrow the queue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Correct vendor or company code country attributes through standard master-data processes</w:t>
      </w:r>
    </w:p>
    <w:p>
      <w:r>
        <w:rPr>
          <w:color w:val="000000"/>
        </w:rPr>
        <w:t>Adjust monitoring parameters after cleanup to keep results actionable</w:t>
      </w:r>
    </w:p>
    <w:p>
      <w:r>
        <w:rPr>
          <w:color w:val="000000"/>
        </w:rPr>
        <w:t>Document review outcomes and schedule recurring runs for critical company codes</w:t>
      </w:r>
    </w:p>
    <w:p/>
    <w:p>
      <w:pPr>
        <w:pStyle w:val="Heading2"/>
      </w:pPr>
      <w:r>
        <w:t>Parameters</w:t>
      </w:r>
    </w:p>
    <w:p/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Company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LFA1_LAND1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Vendor's Country 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LAND1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LAND1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Vendor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SW_DEST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/>
    <w:p>
      <w:pPr>
        <w:pStyle w:val="Heading3"/>
      </w:pPr>
      <w:r>
        <w:t>Parameter Configuration Guidelines</w:t>
      </w:r>
    </w:p>
    <w:p>
      <w:r>
        <w:rPr>
          <w:color w:val="000000"/>
        </w:rPr>
        <w:t>IMPORTANT: Configure ALL 8 parameters listed in the Parameters Reference Table when tuning this EI; each influences which records are read, filtered, aged, and surfaced for alerting.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(INT4)</w:t>
      </w:r>
    </w:p>
    <w:p>
      <w:r>
        <w:rPr>
          <w:color w:val="000000"/>
        </w:rPr>
        <w:t>BACKDAYS defines the historical monitoring window by specifying how many days backward from today to retrieve records. 0 - today, 1 - today + yesterday etc.</w:t>
      </w:r>
    </w:p>
    <w:p>
      <w:r>
        <w:rPr>
          <w:color w:val="000000"/>
        </w:rPr>
        <w:t>Backdays is based on ERDAT</w:t>
      </w:r>
    </w:p>
    <w:p>
      <w:r>
        <w:rPr>
          <w:b/>
          <w:color w:val="000000"/>
        </w:rPr>
        <w:t>BUKRS</w:t>
      </w:r>
      <w:r>
        <w:rPr>
          <w:color w:val="000000"/>
        </w:rPr>
        <w:t xml:space="preserve"> (Company Code)</w:t>
      </w:r>
    </w:p>
    <w:p>
      <w:r>
        <w:rPr>
          <w:color w:val="000000"/>
        </w:rPr>
        <w:t>Company code key that scopes data to legal entity/accounting unit level.</w:t>
      </w:r>
    </w:p>
    <w:p>
      <w:r>
        <w:rPr>
          <w:b/>
          <w:color w:val="000000"/>
        </w:rPr>
        <w:t>DATUM</w:t>
      </w:r>
      <w:r>
        <w:rPr>
          <w:color w:val="000000"/>
        </w:rPr>
        <w:t xml:space="preserve"> (DATS)</w:t>
      </w:r>
    </w:p>
    <w:p>
      <w:r>
        <w:rPr>
          <w:color w:val="000000"/>
        </w:rPr>
        <w:t xml:space="preserve">Optional reference date parameter from the selection framework; when creation date is not supplied and </w:t>
      </w:r>
      <w:r>
        <w:rPr>
          <w:b/>
          <w:color w:val="000000"/>
        </w:rPr>
        <w:t>BACKDAYS</w:t>
      </w:r>
      <w:r>
        <w:rPr>
          <w:color w:val="000000"/>
        </w:rPr>
        <w:t xml:space="preserve"> is non-zero, the built monitoring range is applied to </w:t>
      </w:r>
      <w:r>
        <w:rPr>
          <w:b/>
          <w:color w:val="000000"/>
        </w:rPr>
        <w:t>ERDAT</w:t>
      </w:r>
      <w:r>
        <w:rPr>
          <w:color w:val="000000"/>
        </w:rPr>
        <w:t xml:space="preserve"> instead.</w:t>
      </w:r>
    </w:p>
    <w:p>
      <w:r>
        <w:rPr>
          <w:b/>
          <w:color w:val="000000"/>
        </w:rPr>
        <w:t>ERDAT</w:t>
      </w:r>
      <w:r>
        <w:rPr>
          <w:color w:val="000000"/>
        </w:rPr>
        <w:t xml:space="preserve"> (Created on)</w:t>
      </w:r>
    </w:p>
    <w:p>
      <w:r>
        <w:rPr>
          <w:color w:val="000000"/>
        </w:rPr>
        <w:t>Created-on date on the persisted business record-standard master/document creation date axis in SAP tables.</w:t>
      </w:r>
    </w:p>
    <w:p>
      <w:r>
        <w:rPr>
          <w:b/>
          <w:color w:val="000000"/>
        </w:rPr>
        <w:t>FORWDAYS</w:t>
      </w:r>
      <w:r>
        <w:rPr>
          <w:color w:val="000000"/>
        </w:rPr>
        <w:t xml:space="preserve"> (INT4)</w:t>
      </w:r>
    </w:p>
    <w:p>
      <w:r>
        <w:rPr>
          <w:color w:val="000000"/>
        </w:rPr>
        <w:t>FORWDAYS defines the historical monitoring window by specifying how many days forward from today to retrieve records. 0 - today, 1 - today + tomorrow etc.</w:t>
      </w:r>
    </w:p>
    <w:p>
      <w:r>
        <w:rPr>
          <w:color w:val="000000"/>
        </w:rPr>
        <w:t>Forwdays is based on ERDAT</w:t>
      </w:r>
    </w:p>
    <w:p>
      <w:r>
        <w:rPr>
          <w:b/>
          <w:color w:val="000000"/>
        </w:rPr>
        <w:t>LFA1_LAND1</w:t>
      </w:r>
      <w:r>
        <w:rPr>
          <w:color w:val="000000"/>
        </w:rPr>
        <w:t xml:space="preserve"> (Vendor's Country Key)</w:t>
      </w:r>
    </w:p>
    <w:p>
      <w:r>
        <w:rPr>
          <w:color w:val="000000"/>
        </w:rPr>
        <w:t>Vendor country on the business partner master; the routine returns rows where this value differs from the company code country on the linked company record.</w:t>
      </w:r>
    </w:p>
    <w:p>
      <w:r>
        <w:rPr>
          <w:b/>
          <w:color w:val="000000"/>
        </w:rPr>
        <w:t>LIFNR</w:t>
      </w:r>
      <w:r>
        <w:rPr>
          <w:color w:val="000000"/>
        </w:rPr>
        <w:t xml:space="preserve"> (Vendor)</w:t>
      </w:r>
    </w:p>
    <w:p>
      <w:r>
        <w:rPr>
          <w:color w:val="000000"/>
        </w:rPr>
        <w:t>Vendor account number used to scope records to supplier-specific flows.</w:t>
      </w:r>
    </w:p>
    <w:p>
      <w:r>
        <w:rPr>
          <w:b/>
          <w:color w:val="000000"/>
        </w:rPr>
        <w:t>SW_DEST</w:t>
      </w:r>
      <w:r>
        <w:rPr>
          <w:color w:val="000000"/>
        </w:rPr>
        <w:t xml:space="preserve"> (SW_DEST)</w:t>
      </w:r>
    </w:p>
    <w:p>
      <w:r>
        <w:rPr>
          <w:color w:val="000000"/>
        </w:rPr>
        <w:t>SW_DEST selects cloud destination/rfc destination context used for remote execution path.</w:t>
      </w:r>
    </w:p>
    <w:p/>
    <w:p>
      <w:pPr>
        <w:pStyle w:val="Heading3"/>
      </w:pPr>
      <w:r>
        <w:t>Parameter Relationships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Mismatch logic:</w:t>
      </w:r>
      <w:r>
        <w:rPr>
          <w:color w:val="000000"/>
        </w:rPr>
        <w:t xml:space="preserve"> The database selection joins vendor company code, vendor general data, and company code master data and keeps rows where vendor country and company code country are not equal.</w:t>
      </w:r>
    </w:p>
    <w:p>
      <w:r>
        <w:rPr>
          <w:b/>
          <w:color w:val="000000"/>
        </w:rPr>
        <w:t>Scope filters:</w:t>
      </w:r>
      <w:r>
        <w:rPr>
          <w:b/>
          <w:color w:val="000000"/>
        </w:rPr>
        <w:t>LIFNR</w:t>
      </w:r>
      <w:r>
        <w:rPr>
          <w:color w:val="000000"/>
        </w:rPr>
        <w:t xml:space="preserve">, </w:t>
      </w:r>
      <w:r>
        <w:rPr>
          <w:b/>
          <w:color w:val="000000"/>
        </w:rPr>
        <w:t>BUKRS</w:t>
      </w:r>
      <w:r>
        <w:rPr>
          <w:color w:val="000000"/>
        </w:rPr>
        <w:t xml:space="preserve">, and </w:t>
      </w:r>
      <w:r>
        <w:rPr>
          <w:b/>
          <w:color w:val="000000"/>
        </w:rPr>
        <w:t>LFA1_LAND1</w:t>
      </w:r>
      <w:r>
        <w:rPr>
          <w:color w:val="000000"/>
        </w:rPr>
        <w:t xml:space="preserve"> narrow which vendor company-code records enter the join.</w:t>
      </w:r>
    </w:p>
    <w:p>
      <w:r>
        <w:rPr>
          <w:b/>
          <w:color w:val="000000"/>
        </w:rPr>
        <w:t>Creation-date window:</w:t>
      </w:r>
      <w:r>
        <w:rPr>
          <w:color w:val="000000"/>
        </w:rPr>
        <w:t xml:space="preserve"> When </w:t>
      </w:r>
      <w:r>
        <w:rPr>
          <w:b/>
          <w:color w:val="000000"/>
        </w:rPr>
        <w:t>ERDAT</w:t>
      </w:r>
      <w:r>
        <w:rPr>
          <w:color w:val="000000"/>
        </w:rPr>
        <w:t xml:space="preserve"> is not selected and </w:t>
      </w:r>
      <w:r>
        <w:rPr>
          <w:b/>
          <w:color w:val="000000"/>
        </w:rPr>
        <w:t>BACKDAYS</w:t>
      </w:r>
      <w:r>
        <w:rPr>
          <w:color w:val="000000"/>
        </w:rPr>
        <w:t xml:space="preserve"> is not zero, a from–to range from today minus </w:t>
      </w:r>
      <w:r>
        <w:rPr>
          <w:b/>
          <w:color w:val="000000"/>
        </w:rPr>
        <w:t>BACKDAYS</w:t>
      </w:r>
      <w:r>
        <w:rPr>
          <w:color w:val="000000"/>
        </w:rPr>
        <w:t xml:space="preserve"> through today is built and applied to </w:t>
      </w:r>
      <w:r>
        <w:rPr>
          <w:b/>
          <w:color w:val="000000"/>
        </w:rPr>
        <w:t>ERDAT</w:t>
      </w:r>
      <w:r>
        <w:rPr>
          <w:color w:val="000000"/>
        </w:rPr>
        <w:t xml:space="preserve">. Explicit </w:t>
      </w:r>
      <w:r>
        <w:rPr>
          <w:b/>
          <w:color w:val="000000"/>
        </w:rPr>
        <w:t>ERDAT</w:t>
      </w:r>
      <w:r>
        <w:rPr>
          <w:color w:val="000000"/>
        </w:rPr>
        <w:t xml:space="preserve"> selections override that fallback.</w:t>
      </w:r>
    </w:p>
    <w:p>
      <w:r>
        <w:rPr>
          <w:b/>
          <w:color w:val="000000"/>
        </w:rPr>
        <w:t>Forward days:</w:t>
      </w:r>
      <w:r>
        <w:rPr>
          <w:color w:val="000000"/>
        </w:rPr>
        <w:t xml:space="preserve"> When </w:t>
      </w:r>
      <w:r>
        <w:rPr>
          <w:b/>
          <w:color w:val="000000"/>
        </w:rPr>
        <w:t>FORWDAYS</w:t>
      </w:r>
      <w:r>
        <w:rPr>
          <w:color w:val="000000"/>
        </w:rPr>
        <w:t xml:space="preserve"> is set, it replaces </w:t>
      </w:r>
      <w:r>
        <w:rPr>
          <w:b/>
          <w:color w:val="000000"/>
        </w:rPr>
        <w:t>BACKDAYS</w:t>
      </w:r>
      <w:r>
        <w:rPr>
          <w:color w:val="000000"/>
        </w:rPr>
        <w:t xml:space="preserve"> with the negated forward-day value before the creation-date window is built, shifting the backward window accordingly.</w:t>
      </w:r>
    </w:p>
    <w:p>
      <w:r>
        <w:rPr>
          <w:b/>
          <w:color w:val="000000"/>
        </w:rPr>
        <w:t>Reference date:</w:t>
      </w:r>
      <w:r>
        <w:rPr>
          <w:b/>
          <w:color w:val="000000"/>
        </w:rPr>
        <w:t>DATUM</w:t>
      </w:r>
      <w:r>
        <w:rPr>
          <w:color w:val="000000"/>
        </w:rPr>
        <w:t xml:space="preserve"> is available for selection but the on-premise path applies the monitoring range to </w:t>
      </w:r>
      <w:r>
        <w:rPr>
          <w:b/>
          <w:color w:val="000000"/>
        </w:rPr>
        <w:t>ERDAT</w:t>
      </w:r>
      <w:r>
        <w:rPr>
          <w:color w:val="000000"/>
        </w:rPr>
        <w:t xml:space="preserve"> via the internal date range copy described above.</w:t>
      </w:r>
    </w:p>
    <w:p>
      <w:r>
        <w:rPr>
          <w:b/>
          <w:color w:val="000000"/>
        </w:rPr>
        <w:t>Execution path:</w:t>
      </w:r>
      <w:r>
        <w:rPr>
          <w:b/>
          <w:color w:val="000000"/>
        </w:rPr>
        <w:t>SW_DEST</w:t>
      </w:r>
      <w:r>
        <w:rPr>
          <w:color w:val="000000"/>
        </w:rPr>
        <w:t xml:space="preserve"> delegates to the cloud function when set; otherwise the on-premise join and filter logic runs locally.</w:t>
      </w:r>
    </w:p>
    <w:p/>
    <w:p>
      <w:pPr>
        <w:pStyle w:val="Heading3"/>
      </w:pPr>
      <w:r>
        <w:t>Default Values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- initial - treated as 0 by code</w:t>
      </w:r>
    </w:p>
    <w:p>
      <w:r>
        <w:rPr>
          <w:b/>
          <w:color w:val="000000"/>
        </w:rPr>
        <w:t>FORWDAYS</w:t>
      </w:r>
      <w:r>
        <w:rPr>
          <w:color w:val="000000"/>
        </w:rPr>
        <w:t xml:space="preserve"> - initial - treated as 0 by code</w:t>
      </w:r>
    </w:p>
    <w:p/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Recent vendor company-code creations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Find country mismatches for vendor company-code records created in the last thirty days.</w:t>
      </w:r>
    </w:p>
    <w:p>
      <w:r>
        <w:rPr>
          <w:rFonts w:ascii="Consolas" w:hAnsi="Consolas"/>
          <w:color w:val="000000"/>
          <w:sz w:val="18"/>
        </w:rPr>
        <w:t>BACKDAYS = 30</w:t>
        <w:br/>
        <w:t>BUKRS = 1000</w:t>
        <w:br/>
      </w:r>
    </w:p>
    <w:p>
      <w:r>
        <w:rPr>
          <w:b/>
          <w:color w:val="000000"/>
        </w:rPr>
        <w:t>Use Case 2: Single vendor review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Check one vendor across all selected company codes for country alignment.</w:t>
      </w:r>
    </w:p>
    <w:p>
      <w:r>
        <w:rPr>
          <w:rFonts w:ascii="Consolas" w:hAnsi="Consolas"/>
          <w:color w:val="000000"/>
          <w:sz w:val="18"/>
        </w:rPr>
        <w:t>LIFNR = 100000</w:t>
        <w:br/>
        <w:t>BACKDAYS = 90</w:t>
        <w:br/>
      </w:r>
    </w:p>
    <w:p>
      <w:r>
        <w:rPr>
          <w:b/>
          <w:color w:val="000000"/>
        </w:rPr>
        <w:t>Use Case 3: Vendor country filter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Monitor vendors with a specific vendor country key that still differ from company code country.</w:t>
      </w:r>
    </w:p>
    <w:p>
      <w:r>
        <w:rPr>
          <w:rFonts w:ascii="Consolas" w:hAnsi="Consolas"/>
          <w:color w:val="000000"/>
          <w:sz w:val="18"/>
        </w:rPr>
        <w:t>LFA1_LAND1 = US</w:t>
        <w:br/>
        <w:t>BUKRS = 2000</w:t>
        <w:br/>
        <w:t>BACKDAYS = 14</w:t>
        <w:br/>
      </w:r>
    </w:p>
    <w:p>
      <w:r>
        <w:rPr>
          <w:b/>
          <w:color w:val="000000"/>
        </w:rPr>
        <w:t>Use Case 4: Forward-day window adjustment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Shift the creation-date window using forward days before applying the backward range.</w:t>
      </w:r>
    </w:p>
    <w:p>
      <w:r>
        <w:rPr>
          <w:rFonts w:ascii="Consolas" w:hAnsi="Consolas"/>
          <w:color w:val="000000"/>
          <w:sz w:val="18"/>
        </w:rPr>
        <w:t>FORWDAYS = 7</w:t>
        <w:br/>
        <w:t>BACKDAYS = 30</w:t>
        <w:br/>
        <w:t>LIFNR = 200000</w:t>
        <w:br/>
        <w:t>BUKRS = 3000</w:t>
        <w:br/>
      </w:r>
    </w:p>
    <w:p/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/SKN/S_SW_10_06_LAND_CODE_COMP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Company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/SKN/S_SW_10_06_LAND_CODE_COMP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/SKN/S_SW_10_06_LAND_CODE_COMP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LFA1_LAND1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Country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LAND1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/SKN/S_SW_10_06_LAND_CODE_COMP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Vendor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/SKN/S_SW_10_06_LAND_CODE_COMP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/SKN/S_SW_10_06_LAND_CODE_COMP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T001_LAND1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Country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LAND1</w:t>
            </w:r>
          </w:p>
        </w:tc>
      </w:tr>
    </w:tbl>
    <w:p/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/SKN/F_SW_10_06_LAND_VEND_COMP.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/SKN/S_SW_10_06_LAND_CODE_COMP OPTIONAL</w:t>
        <w:br/>
        <w:t>*"----------------------------------------------------------------------</w:t>
        <w:br/>
        <w:t xml:space="preserve">  TYPES: BEGIN OF TY_DATA,</w:t>
        <w:br/>
        <w:t xml:space="preserve">           LIFNR       TYPE LFB1-LIFNR,</w:t>
        <w:br/>
        <w:t xml:space="preserve">           BUKRS       TYPE LFB1-BUKRS,</w:t>
        <w:br/>
        <w:t xml:space="preserve">           LFA1_LAND1  TYPE LFA1-LAND1,</w:t>
        <w:br/>
        <w:t xml:space="preserve">           NAME1       TYPE LFA1-NAME1,</w:t>
        <w:br/>
        <w:t xml:space="preserve">           ERDAT       TYPE LFB1-ERDAT,</w:t>
        <w:br/>
        <w:t xml:space="preserve">           T001_LAND1  TYPE T001-LAND1,</w:t>
        <w:br/>
        <w:t xml:space="preserve">         END OF TY_DATA,</w:t>
        <w:br/>
        <w:t xml:space="preserve">         TT_DATA TYPE STANDARD TABLE OF TY_DATA.</w:t>
        <w:br/>
        <w:t xml:space="preserve">  DATA_SINGLE: SW_DEST       RFCDEST,</w:t>
        <w:br/>
        <w:t xml:space="preserve">               BACKDAYS      INT4,</w:t>
        <w:br/>
        <w:t xml:space="preserve">               FORWDAYS      INT4.</w:t>
        <w:br/>
        <w:t xml:space="preserve">  DATA_MULTY: DURATION /SKN/E_SW_DURATION,</w:t>
        <w:br/>
        <w:t xml:space="preserve">              LIFNR    LIFNR,</w:t>
        <w:br/>
        <w:t xml:space="preserve">              BUKRS    BUKRS,</w:t>
        <w:br/>
        <w:t xml:space="preserve">              LFA1_LAND1    LAND1,</w:t>
        <w:br/>
        <w:t xml:space="preserve">              ERDAT    ERDAT_RF,</w:t>
        <w:br/>
        <w:t xml:space="preserve">              DATUM    SY-DATUM.</w:t>
        <w:br/>
        <w:t xml:space="preserve">  SELECT_MULTY: LIFNR,</w:t>
        <w:br/>
        <w:t xml:space="preserve">                BUKRS,</w:t>
        <w:br/>
        <w:t xml:space="preserve">                LFA1_LAND1,</w:t>
        <w:br/>
        <w:t xml:space="preserve">                ERDAT,</w:t>
        <w:br/>
        <w:t xml:space="preserve">                DATUM.</w:t>
        <w:br/>
        <w:t xml:space="preserve">  SELECT_SINGLE: SW_DEST,</w:t>
        <w:br/>
        <w:t xml:space="preserve">                 BACKDAYS</w:t>
        <w:br/>
        <w:t xml:space="preserve">                 .</w:t>
        <w:br/>
        <w:t>*  convert_multy: lifnr alpha,</w:t>
        <w:br/>
        <w:t>*                 bukrs alpha.</w:t>
        <w:br/>
        <w:t xml:space="preserve">  DATA: SY_TABIX LIKE SY-TABIX,</w:t>
        <w:br/>
        <w:t xml:space="preserve">        SY_DATLO LIKE SY-DATLO,</w:t>
        <w:br/>
        <w:t xml:space="preserve">        SY_TIMLO LIKE SY-TIMLO.</w:t>
        <w:br/>
        <w:t xml:space="preserve">  DATA: LT_DATA  TYPE TT_DATA,</w:t>
        <w:br/>
        <w:t xml:space="preserve">        LS_DATA  TYPE TY_DATA,</w:t>
        <w:br/>
        <w:t xml:space="preserve">        LS_DATA2 LIKE LINE OF T_DATA[].</w:t>
        <w:br/>
        <w:t xml:space="preserve">  DATA: BACKDAYS  TYPE I,</w:t>
        <w:br/>
        <w:t xml:space="preserve">        FORWDAYS  TYPE I,</w:t>
        <w:br/>
        <w:t xml:space="preserve">        DATE_FROM LIKE SY-DATUM,</w:t>
        <w:br/>
        <w:t xml:space="preserve">        DATE_TO   LIKE SY-DATUM,</w:t>
        <w:br/>
        <w:t xml:space="preserve">        REF_DATE  TYPE D.</w:t>
        <w:br/>
        <w:t xml:space="preserve">  DATA: TIME_DIFF TYPE  INT4 .</w:t>
        <w:br/>
        <w:t xml:space="preserve">  DATA: FLD(60) TYPE C.</w:t>
        <w:br/>
        <w:t xml:space="preserve">  FIELD-SYMBOLS:  TYPE ANY.</w:t>
        <w:br/>
        <w:t xml:space="preserve">  IF NOT LV_FORWDAYS  IS INITIAL.</w:t>
        <w:br/>
        <w:t xml:space="preserve">    LV_BACKDAYS = LV_FORWDAYS * ( -1 ).</w:t>
        <w:br/>
        <w:t xml:space="preserve">  ENDIF.</w:t>
        <w:br/>
        <w:t xml:space="preserve">  IF R_ERDAT[] IS INITIAL AND LV_BACKDAYS &lt;&gt; 0.</w:t>
        <w:br/>
        <w:t xml:space="preserve">    RS_DATUM-SIGN   = 'I' .</w:t>
        <w:br/>
        <w:t xml:space="preserve">    RS_DATUM-OPTION = 'BT' .</w:t>
        <w:br/>
        <w:t xml:space="preserve">    DATE_FROM       = SY-DATUM - LV_BACKDAYS.</w:t>
        <w:br/>
        <w:t xml:space="preserve">    RS_DATUM-LOW    = DATE_FROM .</w:t>
        <w:br/>
        <w:t xml:space="preserve">    RS_DATUM-HIGH   = SY-DATUM.</w:t>
        <w:br/>
        <w:t xml:space="preserve">    APPEND RS_DATUM TO R_DATUM.</w:t>
        <w:br/>
        <w:t xml:space="preserve">    R_ERDAT[] = R_DATUM[].</w:t>
        <w:br/>
        <w:t xml:space="preserve">  ENDIF.</w:t>
        <w:br/>
        <w:t>* if sw_dest is empty then on premise, else on cloud</w:t>
        <w:br/>
        <w:t xml:space="preserve">  IF LV_SW_DEST IS NOT INITIAL.</w:t>
        <w:br/>
        <w:t xml:space="preserve">    CALL FUNCTION '/SKN/FC_SW_10_06_LAND_VEND_COM'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>*--- Retrieve data</w:t>
        <w:br/>
        <w:t xml:space="preserve">  CLEAR IS_ALERT .</w:t>
        <w:br/>
        <w:t xml:space="preserve">  REFRESH T_DATA.</w:t>
        <w:br/>
        <w:t xml:space="preserve">  SELECT LFB1~LIFNR LFB1~BUKRS</w:t>
        <w:br/>
        <w:t xml:space="preserve">         LFA1~LAND1 AS LFA1_LAND1 LFA1~NAME1</w:t>
        <w:br/>
        <w:t xml:space="preserve">         T001~LAND1 AS T001_LAND1</w:t>
        <w:br/>
        <w:t xml:space="preserve">    FROM LFB1 INNER JOIN LFA1 ON  LFB1~LIFNR EQ LFA1~LIFNR</w:t>
        <w:br/>
        <w:t xml:space="preserve">              INNER JOIN T001 ON  LFB1~BUKRS EQ T001~BUKRS</w:t>
        <w:br/>
        <w:t xml:space="preserve">                              AND LFA1~LAND1 &lt;&gt; T001~LAND1</w:t>
        <w:br/>
        <w:t xml:space="preserve">    INTO CORRESPONDING FIELDS OF TABLE T_DATA</w:t>
        <w:br/>
        <w:t xml:space="preserve">    WHERE LFB1~LIFNR IN R_LIFNR</w:t>
        <w:br/>
        <w:t xml:space="preserve">    AND   LFB1~BUKRS IN R_BUKRS</w:t>
        <w:br/>
        <w:t xml:space="preserve">    AND   LFB1~ERDAT IN R_ERDAT</w:t>
        <w:br/>
        <w:t xml:space="preserve">    AND   LFA1~LAND1 IN R_LFA1_LAND1.</w:t>
        <w:br/>
        <w:t>*  LOOP AT lt_data INTO ls_data.</w:t>
        <w:br/>
        <w:t>*    IF ls_data-lfa1_land1 &lt;&gt; ls_data-t001_land1.</w:t>
        <w:br/>
        <w:t>*      MOVE-CORRESPONDING ls_data TO ls_data2.</w:t>
        <w:br/>
        <w:t>*      APPEND ls_data2 TO t_data.</w:t>
        <w:br/>
        <w:t>*    ENDIF.</w:t>
        <w:br/>
        <w:t>*  ENDLOOP.</w:t>
        <w:br/>
        <w:t xml:space="preserve">  READ TABLE T_DATA INDEX 1.</w:t>
        <w:br/>
        <w:t xml:space="preserve">  CHECK NOT SY-TFILL 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