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Parameters: SKN_S_SW_01_AUD_SM20_TR_START</w:t>
      </w:r>
    </w:p>
    <w:p>
      <w:pPr>
        <w:pStyle w:val="Heading3"/>
      </w:pPr>
      <w:r>
        <w:t>Parameters 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Parameter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difference between now and the recorded transaction timestamp, calculated in the selected duration unit.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Unit used to calculate and displayDURATION.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INSTANCENAME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Application server instance where the transaction start was recorded.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SAP client identifier.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MSCDATE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the transaction start event.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MSCTIME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of the transaction start event.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TCODE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code captured by the SM20-based extraction logic.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TRN_BY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 code context field returned by the source log dataset.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TRN_EX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Effective transaction code used for filtering and exclusion handling.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TTEXT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Language-dependent transaction text resolved from transaction metadata.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ID associated with the transaction start event.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USERID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selection/filter field used to limit users included in the result set.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>IMPORTANT: Configure ALL 12 parameters in alignment with your audit monitoring objective, system landscape, and investigation window.</w:t>
      </w:r>
    </w:p>
    <w:p>
      <w:r>
        <w:rPr>
          <w:b/>
          <w:color w:val="000000"/>
        </w:rPr>
        <w:t>DURATION</w:t>
      </w:r>
    </w:p>
    <w:p>
      <w:pPr>
        <w:pStyle w:val="ListBullet"/>
      </w:pPr>
      <w:r>
        <w:rPr>
          <w:color w:val="000000"/>
        </w:rPr>
        <w:t>Use this as the primary aging threshold to isolate recent or delayed transaction starts.</w:t>
      </w:r>
    </w:p>
    <w:p>
      <w:pPr>
        <w:pStyle w:val="ListBullet"/>
      </w:pPr>
      <w:r>
        <w:rPr>
          <w:color w:val="000000"/>
        </w:rPr>
        <w:t>Lower values highlight near-real-time activity; higher values broaden historical analysis.</w:t>
      </w:r>
    </w:p>
    <w:p>
      <w:r>
        <w:rPr>
          <w:b/>
          <w:color w:val="000000"/>
        </w:rPr>
        <w:t>DURATION_UNIT</w:t>
      </w:r>
    </w:p>
    <w:p>
      <w:pPr>
        <w:pStyle w:val="ListBullet"/>
      </w:pPr>
      <w:r>
        <w:rPr>
          <w:color w:val="000000"/>
        </w:rPr>
        <w:t>Choose the unit used by DURATION calculations and thresholds.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 = Hours</w:t>
      </w:r>
    </w:p>
    <w:p>
      <w:pPr>
        <w:pStyle w:val="ListBullet"/>
      </w:pPr>
      <w:r>
        <w:rPr>
          <w:color w:val="000000"/>
        </w:rPr>
        <w:t>M = Minutes</w:t>
      </w:r>
    </w:p>
    <w:p>
      <w:pPr>
        <w:pStyle w:val="ListBullet"/>
      </w:pPr>
      <w:r>
        <w:rPr>
          <w:color w:val="000000"/>
        </w:rPr>
        <w:t>D = Days</w:t>
      </w:r>
    </w:p>
    <w:p>
      <w:pPr>
        <w:pStyle w:val="ListBullet"/>
      </w:pPr>
      <w:r>
        <w:rPr>
          <w:color w:val="000000"/>
        </w:rPr>
        <w:t>F = Full days (calendar-day based filtering)</w:t>
      </w:r>
    </w:p>
    <w:p>
      <w:r>
        <w:rPr>
          <w:b/>
          <w:color w:val="000000"/>
        </w:rPr>
        <w:t>INSTANCENAME</w:t>
      </w:r>
    </w:p>
    <w:p>
      <w:pPr>
        <w:pStyle w:val="ListBullet"/>
      </w:pPr>
      <w:r>
        <w:rPr>
          <w:color w:val="000000"/>
        </w:rPr>
        <w:t>Restrict to specific application server instances when analysis is scoped to selected hosts.</w:t>
      </w:r>
    </w:p>
    <w:p>
      <w:pPr>
        <w:pStyle w:val="ListBullet"/>
      </w:pPr>
      <w:r>
        <w:rPr>
          <w:color w:val="000000"/>
        </w:rPr>
        <w:t>Keep unrestricted when you need a system-wide transaction start view.</w:t>
      </w:r>
    </w:p>
    <w:p>
      <w:r>
        <w:rPr>
          <w:b/>
          <w:color w:val="000000"/>
        </w:rPr>
        <w:t>MANDT</w:t>
      </w:r>
    </w:p>
    <w:p>
      <w:pPr>
        <w:pStyle w:val="ListBullet"/>
      </w:pPr>
      <w:r>
        <w:rPr>
          <w:color w:val="000000"/>
        </w:rPr>
        <w:t>Set the client scope explicitly for cross-client landscapes.</w:t>
      </w:r>
    </w:p>
    <w:p>
      <w:pPr>
        <w:pStyle w:val="ListBullet"/>
      </w:pPr>
      <w:r>
        <w:rPr>
          <w:color w:val="000000"/>
        </w:rPr>
        <w:t>In single-client deployments, keep the productive client value fixed to avoid mixed results.</w:t>
      </w:r>
    </w:p>
    <w:p>
      <w:r>
        <w:rPr>
          <w:b/>
          <w:color w:val="000000"/>
        </w:rPr>
        <w:t>MSCDATE</w:t>
      </w:r>
    </w:p>
    <w:p>
      <w:pPr>
        <w:pStyle w:val="ListBullet"/>
      </w:pPr>
      <w:r>
        <w:rPr>
          <w:color w:val="000000"/>
        </w:rPr>
        <w:t>Define the audit date window to match the period under review.</w:t>
      </w:r>
    </w:p>
    <w:p>
      <w:pPr>
        <w:pStyle w:val="ListBullet"/>
      </w:pPr>
      <w:r>
        <w:rPr>
          <w:color w:val="000000"/>
        </w:rPr>
        <w:t>Align this with operational calendar boundaries used by your security or compliance team.</w:t>
      </w:r>
    </w:p>
    <w:p>
      <w:r>
        <w:rPr>
          <w:b/>
          <w:color w:val="000000"/>
        </w:rPr>
        <w:t>MSCTIME</w:t>
      </w:r>
    </w:p>
    <w:p>
      <w:pPr>
        <w:pStyle w:val="ListBullet"/>
      </w:pPr>
      <w:r>
        <w:rPr>
          <w:color w:val="000000"/>
        </w:rPr>
        <w:t>Add time-of-day constraints when investigating unusual activity windows (for example, off-hours starts).</w:t>
      </w:r>
    </w:p>
    <w:p>
      <w:pPr>
        <w:pStyle w:val="ListBullet"/>
      </w:pPr>
      <w:r>
        <w:rPr>
          <w:color w:val="000000"/>
        </w:rPr>
        <w:t>Keep broad when daily-level monitoring is sufficient.</w:t>
      </w:r>
    </w:p>
    <w:p>
      <w:r>
        <w:rPr>
          <w:b/>
          <w:color w:val="000000"/>
        </w:rPr>
        <w:t>TCODE</w:t>
      </w:r>
    </w:p>
    <w:p>
      <w:pPr>
        <w:pStyle w:val="ListBullet"/>
      </w:pPr>
      <w:r>
        <w:rPr>
          <w:color w:val="000000"/>
        </w:rPr>
        <w:t>Use targeted transaction-code filters for focused investigations.</w:t>
      </w:r>
    </w:p>
    <w:p>
      <w:pPr>
        <w:pStyle w:val="ListBullet"/>
      </w:pPr>
      <w:r>
        <w:rPr>
          <w:color w:val="000000"/>
        </w:rPr>
        <w:t>Keep broader criteria for baseline monitoring and trend collection.</w:t>
      </w:r>
    </w:p>
    <w:p>
      <w:r>
        <w:rPr>
          <w:b/>
          <w:color w:val="000000"/>
        </w:rPr>
        <w:t>TRN_BY</w:t>
      </w:r>
    </w:p>
    <w:p>
      <w:pPr>
        <w:pStyle w:val="ListBullet"/>
      </w:pPr>
      <w:r>
        <w:rPr>
          <w:color w:val="000000"/>
        </w:rPr>
        <w:t>Apply when you need to distinguish by source transaction context returned from the extracted records.</w:t>
      </w:r>
    </w:p>
    <w:p>
      <w:pPr>
        <w:pStyle w:val="ListBullet"/>
      </w:pPr>
      <w:r>
        <w:rPr>
          <w:color w:val="000000"/>
        </w:rPr>
        <w:t>Use together with TCODE/TRN_EX to separate closely related execution patterns.</w:t>
      </w:r>
    </w:p>
    <w:p>
      <w:r>
        <w:rPr>
          <w:b/>
          <w:color w:val="000000"/>
        </w:rPr>
        <w:t>TRN_EX</w:t>
      </w:r>
    </w:p>
    <w:p>
      <w:pPr>
        <w:pStyle w:val="ListBullet"/>
      </w:pPr>
      <w:r>
        <w:rPr>
          <w:color w:val="000000"/>
        </w:rPr>
        <w:t>Use this field for effective transaction-code filtering after exclusion handling.</w:t>
      </w:r>
    </w:p>
    <w:p>
      <w:pPr>
        <w:pStyle w:val="ListBullet"/>
      </w:pPr>
      <w:r>
        <w:rPr>
          <w:color w:val="000000"/>
        </w:rPr>
        <w:t>Configure exclusion-sensitive scenarios here when standard TCODE filtering is too broad.</w:t>
      </w:r>
    </w:p>
    <w:p>
      <w:r>
        <w:rPr>
          <w:b/>
          <w:color w:val="000000"/>
        </w:rPr>
        <w:t>TTEXT</w:t>
      </w:r>
    </w:p>
    <w:p>
      <w:pPr>
        <w:pStyle w:val="ListBullet"/>
      </w:pPr>
      <w:r>
        <w:rPr>
          <w:color w:val="000000"/>
        </w:rPr>
        <w:t>Use for readable reporting outputs and analyst-friendly review screens.</w:t>
      </w:r>
    </w:p>
    <w:p>
      <w:pPr>
        <w:pStyle w:val="ListBullet"/>
      </w:pPr>
      <w:r>
        <w:rPr>
          <w:color w:val="000000"/>
        </w:rPr>
        <w:t>Ensure language settings are consistent with the audience using the report.</w:t>
      </w:r>
    </w:p>
    <w:p>
      <w:r>
        <w:rPr>
          <w:b/>
          <w:color w:val="000000"/>
        </w:rPr>
        <w:t>USER</w:t>
      </w:r>
    </w:p>
    <w:p>
      <w:pPr>
        <w:pStyle w:val="ListBullet"/>
      </w:pPr>
      <w:r>
        <w:rPr>
          <w:color w:val="000000"/>
        </w:rPr>
        <w:t>Restrict to specific user IDs for targeted investigations.</w:t>
      </w:r>
    </w:p>
    <w:p>
      <w:pPr>
        <w:pStyle w:val="ListBullet"/>
      </w:pPr>
      <w:r>
        <w:rPr>
          <w:color w:val="000000"/>
        </w:rPr>
        <w:t>Keep unrestricted for broad anomaly detection across all active users.</w:t>
      </w:r>
    </w:p>
    <w:p>
      <w:r>
        <w:rPr>
          <w:b/>
          <w:color w:val="000000"/>
        </w:rPr>
        <w:t>USERID</w:t>
      </w:r>
    </w:p>
    <w:p>
      <w:pPr>
        <w:pStyle w:val="ListBullet"/>
      </w:pPr>
      <w:r>
        <w:rPr>
          <w:color w:val="000000"/>
        </w:rPr>
        <w:t>Configure this as a user-name based selection layer to control which users are included.</w:t>
      </w:r>
    </w:p>
    <w:p>
      <w:pPr>
        <w:pStyle w:val="ListBullet"/>
      </w:pPr>
      <w:r>
        <w:rPr>
          <w:color w:val="000000"/>
        </w:rPr>
        <w:t>Combine with date/time filters to reduce noise during high-volume periods.</w:t>
      </w:r>
    </w:p>
    <w:p>
      <w:pPr>
        <w:pStyle w:val="Heading3"/>
      </w:pPr>
      <w:r>
        <w:t>Parameter Relationships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DURATION</w:t>
      </w:r>
      <w:r>
        <w:rPr>
          <w:color w:val="000000"/>
        </w:rPr>
        <w:t xml:space="preserve"> and </w:t>
      </w:r>
      <w:r>
        <w:rPr>
          <w:rFonts w:ascii="Consolas" w:hAnsi="Consolas"/>
          <w:color w:val="000000"/>
          <w:sz w:val="20"/>
        </w:rPr>
        <w:t>DURATION_UNIT</w:t>
      </w:r>
      <w:r>
        <w:rPr>
          <w:color w:val="000000"/>
        </w:rPr>
        <w:t xml:space="preserve"> are a coupled pair: threshold value and measurement unit must be configured together.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MSCDATE</w:t>
      </w:r>
      <w:r>
        <w:rPr>
          <w:color w:val="000000"/>
        </w:rPr>
        <w:t xml:space="preserve"> and </w:t>
      </w:r>
      <w:r>
        <w:rPr>
          <w:rFonts w:ascii="Consolas" w:hAnsi="Consolas"/>
          <w:color w:val="000000"/>
          <w:sz w:val="20"/>
        </w:rPr>
        <w:t>MSCTIME</w:t>
      </w:r>
      <w:r>
        <w:rPr>
          <w:color w:val="000000"/>
        </w:rPr>
        <w:t xml:space="preserve"> jointly define the transaction-start time window; using only one dimension can produce incomplete temporal filtering.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TCODE</w:t>
      </w:r>
      <w:r>
        <w:rPr>
          <w:color w:val="000000"/>
        </w:rPr>
        <w:t xml:space="preserve">, </w:t>
      </w:r>
      <w:r>
        <w:rPr>
          <w:rFonts w:ascii="Consolas" w:hAnsi="Consolas"/>
          <w:color w:val="000000"/>
          <w:sz w:val="20"/>
        </w:rPr>
        <w:t>TRN_BY</w:t>
      </w:r>
      <w:r>
        <w:rPr>
          <w:color w:val="000000"/>
        </w:rPr>
        <w:t xml:space="preserve">, and </w:t>
      </w:r>
      <w:r>
        <w:rPr>
          <w:rFonts w:ascii="Consolas" w:hAnsi="Consolas"/>
          <w:color w:val="000000"/>
          <w:sz w:val="20"/>
        </w:rPr>
        <w:t>TRN_EX</w:t>
      </w:r>
      <w:r>
        <w:rPr>
          <w:color w:val="000000"/>
        </w:rPr>
        <w:t xml:space="preserve"> are complementary transaction selectors; combining them helps separate direct starts from excluded/derived transaction contexts.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USER</w:t>
      </w:r>
      <w:r>
        <w:rPr>
          <w:color w:val="000000"/>
        </w:rPr>
        <w:t xml:space="preserve"> and </w:t>
      </w:r>
      <w:r>
        <w:rPr>
          <w:rFonts w:ascii="Consolas" w:hAnsi="Consolas"/>
          <w:color w:val="000000"/>
          <w:sz w:val="20"/>
        </w:rPr>
        <w:t>USERID</w:t>
      </w:r>
      <w:r>
        <w:rPr>
          <w:color w:val="000000"/>
        </w:rPr>
        <w:t xml:space="preserve"> should be aligned to the same user population to avoid conflicting inclusion logic.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TTEXT</w:t>
      </w:r>
      <w:r>
        <w:rPr>
          <w:color w:val="000000"/>
        </w:rPr>
        <w:t xml:space="preserve"> depends on transaction-code resolution and language context; keep language configuration consistent for comparable outputs.</w:t>
      </w:r>
    </w:p>
    <w:p>
      <w:pPr>
        <w:pStyle w:val="Heading3"/>
      </w:pPr>
      <w:r>
        <w:t>Default Values and Practical Examples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rFonts w:ascii="Consolas" w:hAnsi="Consolas"/>
          <w:color w:val="000000"/>
          <w:sz w:val="20"/>
        </w:rPr>
        <w:t>DURATION_UNIT = D</w:t>
      </w:r>
      <w:r>
        <w:rPr>
          <w:color w:val="000000"/>
        </w:rPr>
        <w:t xml:space="preserve"> is a practical baseline for daily audit monitoring.</w:t>
      </w:r>
    </w:p>
    <w:p>
      <w:pPr>
        <w:pStyle w:val="ListBullet"/>
      </w:pPr>
      <w:r>
        <w:rPr>
          <w:color w:val="000000"/>
        </w:rPr>
        <w:t>If no explicit date is provided, a recent-day window is commonly used to keep volume manageable.</w:t>
      </w:r>
    </w:p>
    <w:p>
      <w:pPr>
        <w:pStyle w:val="ListBullet"/>
      </w:pPr>
      <w:r>
        <w:rPr>
          <w:color w:val="000000"/>
        </w:rPr>
        <w:t>Package/window slicing should match expected event volume to prevent oversized pulls.</w:t>
      </w:r>
    </w:p>
    <w:p>
      <w:pPr>
        <w:pStyle w:val="Heading3"/>
      </w:pPr>
      <w:r>
        <w:t>Practical Configuration Examples</w:t>
      </w:r>
    </w:p>
    <w:p>
      <w:r>
        <w:rPr>
          <w:color w:val="000000"/>
        </w:rPr>
        <w:t>Use Case 1: Daily monitoring for critical transactions</w:t>
      </w:r>
    </w:p>
    <w:p>
      <w:r>
        <w:rPr>
          <w:rFonts w:ascii="Consolas" w:hAnsi="Consolas"/>
          <w:color w:val="000000"/>
          <w:sz w:val="18"/>
        </w:rPr>
        <w:t>DURATION=1</w:t>
        <w:br/>
        <w:t>DURATION_UNIT=D</w:t>
        <w:br/>
        <w:t>MSCDATE=20260325-20260326</w:t>
        <w:br/>
        <w:t>TCODE=SU01</w:t>
        <w:br/>
        <w:t>USER=*</w:t>
        <w:br/>
      </w:r>
    </w:p>
    <w:p>
      <w:r>
        <w:rPr>
          <w:color w:val="000000"/>
        </w:rPr>
        <w:t>Use Case 2: Off-hours transaction start review</w:t>
      </w:r>
    </w:p>
    <w:p>
      <w:r>
        <w:rPr>
          <w:rFonts w:ascii="Consolas" w:hAnsi="Consolas"/>
          <w:color w:val="000000"/>
          <w:sz w:val="18"/>
        </w:rPr>
        <w:t>DURATION=12</w:t>
        <w:br/>
        <w:t>DURATION_UNIT=H</w:t>
        <w:br/>
        <w:t>MSCDATE=20260325-20260325</w:t>
        <w:br/>
        <w:t>MSCTIME=200000-235959</w:t>
        <w:br/>
        <w:t>TRN_EX=SE38</w:t>
        <w:br/>
      </w:r>
    </w:p>
    <w:p>
      <w:r>
        <w:rPr>
          <w:color w:val="000000"/>
        </w:rPr>
        <w:t>Use Case 3: Fast triage for a specific user set</w:t>
      </w:r>
    </w:p>
    <w:p>
      <w:r>
        <w:rPr>
          <w:rFonts w:ascii="Consolas" w:hAnsi="Consolas"/>
          <w:color w:val="000000"/>
          <w:sz w:val="18"/>
        </w:rPr>
        <w:t>DURATION=90</w:t>
        <w:br/>
        <w:t>DURATION_UNIT=M</w:t>
        <w:br/>
        <w:t>USERID=FIN_AUDITOR_01</w:t>
        <w:br/>
        <w:t>TCODE=SM20</w:t>
        <w:br/>
      </w:r>
    </w:p>
    <w:p>
      <w:pPr>
        <w:pStyle w:val="Heading3"/>
      </w:pPr>
      <w:r>
        <w:t>EI Function Structure (Structure-Only View)</w:t>
      </w:r>
    </w:p>
    <w:p>
      <w:pPr>
        <w:pStyle w:val="ListBullet"/>
      </w:pPr>
      <w:r>
        <w:rPr>
          <w:color w:val="000000"/>
        </w:rPr>
        <w:t xml:space="preserve">Function module: </w:t>
      </w:r>
      <w:r>
        <w:rPr>
          <w:rFonts w:ascii="Consolas" w:hAnsi="Consolas"/>
          <w:color w:val="000000"/>
          <w:sz w:val="20"/>
        </w:rPr>
        <w:t>/SKN/F_SW_01_AUD_SM20_TR_START</w:t>
      </w:r>
    </w:p>
    <w:p>
      <w:pPr>
        <w:pStyle w:val="ListBullet"/>
      </w:pPr>
      <w:r>
        <w:rPr>
          <w:color w:val="000000"/>
        </w:rPr>
        <w:t xml:space="preserve">Output structure: </w:t>
      </w:r>
      <w:r>
        <w:rPr>
          <w:rFonts w:ascii="Consolas" w:hAnsi="Consolas"/>
          <w:color w:val="000000"/>
          <w:sz w:val="20"/>
        </w:rPr>
        <w:t>/SKN/S_SW_01_AUD_SM20_TR_START</w:t>
      </w:r>
    </w:p>
    <w:p>
      <w:pPr>
        <w:pStyle w:val="ListBullet"/>
      </w:pPr>
      <w:r>
        <w:rPr>
          <w:color w:val="000000"/>
        </w:rPr>
        <w:t>Purpose: collect and enrich SM20-based transaction-start events, calculate duration from event timestamp to current time, and return alert-ready records.</w:t>
      </w:r>
    </w:p>
    <w:p>
      <w:r>
        <w:rPr>
          <w:color w:val="000000"/>
        </w:rPr>
        <w:t>Core processing flow:</w:t>
        <w:br/>
        <w:t>1. Read selection parameters (duration, unit, date/time, user, transaction constraints).</w:t>
        <w:br/>
        <w:t>2. Build date windows and package intervals for data retrieval.</w:t>
        <w:br/>
        <w:t>3. Call helper logic to retrieve SM20 transaction logs.</w:t>
        <w:br/>
        <w:t>4. Apply transaction and user filters.</w:t>
        <w:br/>
        <w:t>5. Enrich records with transaction text metadata.</w:t>
        <w:br/>
        <w:t xml:space="preserve">6. Calculate </w:t>
      </w:r>
      <w:r>
        <w:rPr>
          <w:rFonts w:ascii="Consolas" w:hAnsi="Consolas"/>
          <w:color w:val="000000"/>
          <w:sz w:val="20"/>
        </w:rPr>
        <w:t>DURATION</w:t>
      </w:r>
      <w:r>
        <w:rPr>
          <w:color w:val="000000"/>
        </w:rPr>
        <w:t xml:space="preserve"> using selected </w:t>
      </w:r>
      <w:r>
        <w:rPr>
          <w:rFonts w:ascii="Consolas" w:hAnsi="Consolas"/>
          <w:color w:val="000000"/>
          <w:sz w:val="20"/>
        </w:rPr>
        <w:t>DURATION_UNIT</w:t>
      </w:r>
      <w:r>
        <w:rPr>
          <w:color w:val="000000"/>
        </w:rPr>
        <w:t>.</w:t>
        <w:br/>
        <w:t>7. Return filtered rows and set alert flag when at least one row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