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="003E4294" w:rsidRPr="003E4294">
              <w:rPr>
                <w:rStyle w:val="aa"/>
                <w:b w:val="0"/>
              </w:rPr>
              <w:t>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ОБЩАЯ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_Toc105247634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="003E4294" w:rsidRPr="003E4294">
              <w:rPr>
                <w:rStyle w:val="aa"/>
                <w:b w:val="0"/>
              </w:rPr>
              <w:t>1.1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="003E4294" w:rsidRPr="003E4294">
              <w:rPr>
                <w:rStyle w:val="aa"/>
                <w:b w:val="0"/>
              </w:rPr>
              <w:t>1.2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аналогичных веб-ресурсов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_Toc105247636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="003E4294" w:rsidRPr="003E4294">
              <w:rPr>
                <w:rStyle w:val="aa"/>
                <w:b w:val="0"/>
              </w:rPr>
              <w:t>1.3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_Toc105247637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="003E4294" w:rsidRPr="003E4294">
              <w:rPr>
                <w:rStyle w:val="aa"/>
                <w:b w:val="0"/>
              </w:rPr>
              <w:t>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ТЕХНОЛОГИЧЕСКАЯ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_Toc105247638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="003E4294" w:rsidRPr="003E4294">
              <w:rPr>
                <w:rStyle w:val="aa"/>
                <w:b w:val="0"/>
              </w:rPr>
              <w:t>2.1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_Toc105247639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="003E4294" w:rsidRPr="003E4294">
              <w:rPr>
                <w:rStyle w:val="aa"/>
                <w:b w:val="0"/>
              </w:rPr>
              <w:t>2.2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_Toc105247640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="003E4294" w:rsidRPr="003E4294">
              <w:rPr>
                <w:rStyle w:val="aa"/>
                <w:b w:val="0"/>
              </w:rPr>
              <w:t>2.3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структуры базы данных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_Toc105247641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="003E4294" w:rsidRPr="003E4294">
              <w:rPr>
                <w:rStyle w:val="aa"/>
                <w:b w:val="0"/>
              </w:rPr>
              <w:t>2.4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_Toc105247642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="003E4294" w:rsidRPr="003E4294">
              <w:rPr>
                <w:rStyle w:val="aa"/>
                <w:b w:val="0"/>
              </w:rPr>
              <w:t>2.5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3D5349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="003E4294" w:rsidRPr="003E4294">
              <w:rPr>
                <w:rStyle w:val="aa"/>
                <w:noProof/>
              </w:rPr>
              <w:t>3 ЭКОНОМИЧЕСКАЯ ЧАСТЬ</w:t>
            </w:r>
            <w:r w:rsidR="003E4294" w:rsidRPr="003E4294">
              <w:rPr>
                <w:noProof/>
                <w:webHidden/>
              </w:rPr>
              <w:tab/>
            </w:r>
            <w:r w:rsidR="003E4294" w:rsidRPr="003E4294">
              <w:rPr>
                <w:noProof/>
                <w:webHidden/>
              </w:rPr>
              <w:fldChar w:fldCharType="begin"/>
            </w:r>
            <w:r w:rsidR="003E4294" w:rsidRPr="003E4294">
              <w:rPr>
                <w:noProof/>
                <w:webHidden/>
              </w:rPr>
              <w:instrText xml:space="preserve"> PAGEREF _Toc105247644 \h </w:instrText>
            </w:r>
            <w:r w:rsidR="003E4294" w:rsidRPr="003E4294">
              <w:rPr>
                <w:noProof/>
                <w:webHidden/>
              </w:rPr>
            </w:r>
            <w:r w:rsidR="003E4294" w:rsidRPr="003E4294">
              <w:rPr>
                <w:noProof/>
                <w:webHidden/>
              </w:rPr>
              <w:fldChar w:fldCharType="separate"/>
            </w:r>
            <w:r w:rsidR="003E4294" w:rsidRPr="003E4294">
              <w:rPr>
                <w:noProof/>
                <w:webHidden/>
              </w:rPr>
              <w:t>6</w:t>
            </w:r>
            <w:r w:rsidR="003E4294"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="003E4294"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19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589F34CA" w14:textId="220896EB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дипломном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проекте рассматривается проектирование и разработка интернет-магазина по продаже автозапчастей.</w:t>
      </w:r>
    </w:p>
    <w:p w14:paraId="6EB91EA5" w14:textId="77777777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14:paraId="4ED9840C" w14:textId="5237CD26" w:rsidR="007E5448" w:rsidRPr="00510821" w:rsidRDefault="003D5349" w:rsidP="007E544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каждым днем все больше и больше набирает популярность продажа услуг через интернет.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Интернет-магазин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современным путем развития бизнеса, так как сегодня за какой-либо услугой человек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первую очередь будет искать информацию в интернете. Также интернет-магазин позволяет покупателю сэкономить время на поиски требуемого товара, а компании расширить область торговли, вне зависимости от расположения покупателя, отправить товар доставкой. Поэтому </w:t>
      </w:r>
      <w:r w:rsidR="00510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тема является достаточно актуальной.</w:t>
      </w:r>
    </w:p>
    <w:p w14:paraId="15647DEE" w14:textId="168B0A8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Hlk105256036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B3FC849" w14:textId="1502AC6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062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интернет-магазинов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37488" w14:textId="2EFAF6C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способы и методы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</w:p>
    <w:p w14:paraId="5ECA6157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05256155"/>
      <w:bookmarkEnd w:id="3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150541F1" w14:textId="229D1BBA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и определить функционал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т-магазину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BF6D48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постановку задачи;</w:t>
      </w:r>
    </w:p>
    <w:p w14:paraId="1BD01583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предметную область;</w:t>
      </w:r>
    </w:p>
    <w:p w14:paraId="18D5F877" w14:textId="6B857835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структуру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A9B7B5" w14:textId="5E85D94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F989BA" w14:textId="1E55F5E0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E7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5586D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из:</w:t>
      </w:r>
    </w:p>
    <w:p w14:paraId="33BDF563" w14:textId="77777777" w:rsidR="007E5448" w:rsidRPr="007E5448" w:rsidRDefault="007E5448" w:rsidP="007E544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введения (в нем обосновывается актуальность выбранной темы и постановка задач);</w:t>
      </w:r>
    </w:p>
    <w:p w14:paraId="197BA740" w14:textId="426BDA64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теоретической части (в этой части содержится анализ разрабатываемой информационной системы, входные и выходные данные, анализ возможностей средств, с помощью которых планируется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выбор метода решения, средств разработки и обоснование этого выбора);</w:t>
      </w:r>
    </w:p>
    <w:p w14:paraId="37CC0CE1" w14:textId="641DD127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(эта часть содержит описание выполнения всех этапов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проекта. Для каждого этапа следует указать назначение, избранные методы решения, код программы и предоставить результаты выполнения этапа);</w:t>
      </w:r>
    </w:p>
    <w:p w14:paraId="2A16EA48" w14:textId="49766F3C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заключения (в заключении подводятся итоги исследования и формулируются окончательные выводы по поставленным во введении цели и задачам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проекта);</w:t>
      </w:r>
    </w:p>
    <w:p w14:paraId="4C269E21" w14:textId="471C9B6D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используемых источников (в этом списке должны быть указаны все информационные источники, использованные для подготовки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проекта).</w:t>
      </w:r>
    </w:p>
    <w:bookmarkEnd w:id="4"/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5" w:name="_Toc484854011"/>
      <w:bookmarkStart w:id="6" w:name="_Toc74046600"/>
      <w:bookmarkStart w:id="7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5"/>
      <w:bookmarkEnd w:id="6"/>
      <w:bookmarkEnd w:id="7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2FAAC7B7" w:rsid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8"/>
    </w:p>
    <w:p w14:paraId="45BC906C" w14:textId="4CC90DFA" w:rsidR="008E7318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82A0011" w14:textId="2CDFA451" w:rsidR="008E7318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каждым днем все больше и больше людей получают водительские удостоверения, в связи с чем возникает необходимость приобретения собственного транспортного средства. Для того, чтобы эксплуатировать автомобиль, его необходимо обслуживать, начиная от минимальных вложений, таких как замена жидкостей, заканчивая ремонтом неисправностей. Соответственно возникает необходимость в поиске запчастей на транспортное средство. Разработка интернет-магазина по продаже автозапчастей является целесообразным решением, так как автовладелец получит возможность быстро находить необходимые то</w:t>
      </w:r>
      <w:bookmarkStart w:id="9" w:name="_GoBack"/>
      <w:bookmarkEnd w:id="9"/>
      <w:r>
        <w:rPr>
          <w:rFonts w:ascii="Times New Roman" w:hAnsi="Times New Roman" w:cs="Times New Roman"/>
          <w:sz w:val="28"/>
        </w:rPr>
        <w:t>вары. Согласно статистике у 50 процентов населения России является автомобиль, что говорит об актуальности разработки интернет-магазина как для автовладельца, так и для уже существующей или новой компании.</w:t>
      </w:r>
    </w:p>
    <w:p w14:paraId="1AAF88E0" w14:textId="77777777" w:rsidR="008E7318" w:rsidRPr="008E7318" w:rsidRDefault="008E7318" w:rsidP="008E7318">
      <w:pPr>
        <w:spacing w:after="0" w:line="360" w:lineRule="auto"/>
        <w:ind w:firstLine="709"/>
        <w:jc w:val="both"/>
      </w:pPr>
    </w:p>
    <w:p w14:paraId="65CCAA5C" w14:textId="77777777" w:rsidR="005D137D" w:rsidRPr="00CD3278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0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10"/>
    </w:p>
    <w:p w14:paraId="46012350" w14:textId="3D059D0F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1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11"/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2" w:name="_Toc484854016"/>
      <w:bookmarkStart w:id="13" w:name="_Toc74046605"/>
      <w:bookmarkStart w:id="14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12"/>
      <w:bookmarkEnd w:id="13"/>
      <w:bookmarkEnd w:id="14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90C9BB0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5" w:name="_Toc484854017"/>
      <w:bookmarkStart w:id="16" w:name="_Toc74046606"/>
      <w:bookmarkStart w:id="17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5"/>
      <w:bookmarkEnd w:id="16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17"/>
    </w:p>
    <w:p w14:paraId="18F02087" w14:textId="77777777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18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t>Проектирование и разработка структуры интернет-магазина</w:t>
      </w:r>
      <w:bookmarkEnd w:id="18"/>
    </w:p>
    <w:p w14:paraId="1D2BF587" w14:textId="33C8E874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19"/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20"/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1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21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2" w:name="_Toc74046609"/>
      <w:bookmarkStart w:id="23" w:name="_Toc516771338"/>
      <w:bookmarkStart w:id="24" w:name="_Toc516145838"/>
      <w:bookmarkStart w:id="25" w:name="_Toc105247644"/>
      <w:r>
        <w:rPr>
          <w:b w:val="0"/>
          <w:color w:val="auto"/>
        </w:rPr>
        <w:lastRenderedPageBreak/>
        <w:t>3 ЭКОНОМИЧЕСКАЯ ЧАСТЬ</w:t>
      </w:r>
      <w:bookmarkEnd w:id="22"/>
      <w:bookmarkEnd w:id="23"/>
      <w:bookmarkEnd w:id="24"/>
      <w:bookmarkEnd w:id="25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3D5349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3D5349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3D5349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3D5349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3D5349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3D5349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3D5349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3D5349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3D5349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3D5349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3D5349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субботних, воскресных и праздничных в расчетном периоде;</w:t>
      </w:r>
    </w:p>
    <w:p w14:paraId="2D187215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3D5349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3D5349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3D5349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3D5349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электроэнергия, потребляемая вычислительной машиной, квт/час, (принять = 1,21 квт/час);</w:t>
      </w:r>
    </w:p>
    <w:p w14:paraId="3A9679E2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bookmarkStart w:id="26" w:name="_Toc74046610"/>
    <w:p w14:paraId="39CE9ABC" w14:textId="77777777" w:rsidR="00B76C4D" w:rsidRPr="00B76C4D" w:rsidRDefault="003D5349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="00B76C4D" w:rsidRPr="00B76C4D">
        <w:rPr>
          <w:rFonts w:ascii="Times New Roman" w:hAnsi="Times New Roman" w:cs="Times New Roman"/>
        </w:rPr>
        <w:t xml:space="preserve"> </w:t>
      </w:r>
      <w:r w:rsidR="00B76C4D"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6"/>
    </w:p>
    <w:p w14:paraId="4612EAA6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27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27"/>
    </w:p>
    <w:p w14:paraId="612FC6D3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3D5349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742F79C8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3D5349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),</m:t>
        </m:r>
      </m:oMath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3D5349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3D5349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3D5349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3D5349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3D5349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28" w:name="_Toc74046612"/>
      <w:bookmarkStart w:id="29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30" w:name="_Toc516771340"/>
      <w:bookmarkStart w:id="31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28"/>
      <w:bookmarkEnd w:id="29"/>
      <w:bookmarkEnd w:id="30"/>
      <w:bookmarkEnd w:id="31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10"/>
      <w:footerReference w:type="default" r:id="rId11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AAAB" w14:textId="77777777" w:rsidR="000D3C41" w:rsidRDefault="000D3C41" w:rsidP="005E462E">
      <w:pPr>
        <w:spacing w:after="0" w:line="240" w:lineRule="auto"/>
      </w:pPr>
      <w:r>
        <w:separator/>
      </w:r>
    </w:p>
  </w:endnote>
  <w:endnote w:type="continuationSeparator" w:id="0">
    <w:p w14:paraId="0E6B7D74" w14:textId="77777777" w:rsidR="000D3C41" w:rsidRDefault="000D3C41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3D5349" w:rsidRDefault="003D53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3D5349" w:rsidRPr="00D07FF5" w:rsidRDefault="003D5349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3D5349" w:rsidRPr="00D07FF5" w:rsidRDefault="003D5349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3D5349" w:rsidRPr="00D07FF5" w:rsidRDefault="003D5349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3D5349" w:rsidRPr="008307C4" w:rsidRDefault="003D5349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3D5349" w:rsidRPr="008307C4" w:rsidRDefault="003D5349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3D5349" w:rsidRPr="008307C4" w:rsidRDefault="003D5349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3D5349" w:rsidRPr="008307C4" w:rsidRDefault="003D5349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D67C" w14:textId="77777777" w:rsidR="000D3C41" w:rsidRDefault="000D3C41" w:rsidP="005E462E">
      <w:pPr>
        <w:spacing w:after="0" w:line="240" w:lineRule="auto"/>
      </w:pPr>
      <w:r>
        <w:separator/>
      </w:r>
    </w:p>
  </w:footnote>
  <w:footnote w:type="continuationSeparator" w:id="0">
    <w:p w14:paraId="1F7C0501" w14:textId="77777777" w:rsidR="000D3C41" w:rsidRDefault="000D3C41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3D5349" w:rsidRDefault="003D534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3D5349" w:rsidRPr="00934447" w:rsidRDefault="003D5349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3D5349" w:rsidRPr="006A251D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3D5349" w:rsidRPr="00482D63" w:rsidRDefault="003D5349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3D5349" w:rsidRPr="006A251D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3D5349" w:rsidRPr="005E462E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3D5349" w:rsidRPr="006A251D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3D5349" w:rsidRPr="002B7F42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3D5349" w:rsidRPr="002B7F42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3D5349" w:rsidRPr="001855D5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3D5349" w:rsidRPr="002B7F42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3D5349" w:rsidRPr="00C65DC9" w:rsidRDefault="003D5349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3D5349" w:rsidRPr="002B7F42" w:rsidRDefault="003D5349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3D5349" w:rsidRPr="00CC0302" w:rsidRDefault="003D5349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3D5349" w:rsidRPr="00DD4578" w:rsidRDefault="003D5349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3D5349" w:rsidRPr="00732751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3D5349" w:rsidRPr="0037002A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3D5349" w:rsidRPr="00FB543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3D5349" w:rsidRPr="00934447" w:rsidRDefault="003D5349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3D5349" w:rsidRPr="006A251D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3D5349" w:rsidRPr="00482D63" w:rsidRDefault="003D5349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3D5349" w:rsidRPr="006A251D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3D5349" w:rsidRPr="005E462E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3D5349" w:rsidRPr="006A251D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3D5349" w:rsidRPr="002B7F42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3D5349" w:rsidRPr="002B7F42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3D5349" w:rsidRPr="001855D5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3D5349" w:rsidRPr="002B7F42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3D5349" w:rsidRPr="00C65DC9" w:rsidRDefault="003D5349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3D5349" w:rsidRPr="002B7F42" w:rsidRDefault="003D5349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3D5349" w:rsidRPr="00CC0302" w:rsidRDefault="003D5349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3D5349" w:rsidRPr="00DD4578" w:rsidRDefault="003D5349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3D5349" w:rsidRPr="00732751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3D5349" w:rsidRPr="0037002A" w:rsidRDefault="003D5349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3D5349" w:rsidRPr="00FB543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3D5349" w:rsidRPr="008307C4" w:rsidRDefault="003D5349" w:rsidP="008307C4">
    <w:pPr>
      <w:pStyle w:val="a4"/>
    </w:pPr>
    <w:bookmarkStart w:id="32" w:name="_Hlk104452036"/>
    <w:bookmarkStart w:id="33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3D5349" w:rsidRPr="00F54FFC" w:rsidRDefault="003D5349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3D5349" w:rsidRPr="003A6427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3D5349" w:rsidRPr="00302032" w:rsidRDefault="003D5349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3D5349" w:rsidRPr="00F54FFC" w:rsidRDefault="003D5349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3D5349" w:rsidRPr="003A6427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3D5349" w:rsidRPr="00302032" w:rsidRDefault="003D5349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2"/>
    <w:bookmarkEnd w:id="3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D3C35DA"/>
    <w:multiLevelType w:val="hybridMultilevel"/>
    <w:tmpl w:val="47C825E4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9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0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6274F"/>
    <w:rsid w:val="0008663C"/>
    <w:rsid w:val="000D3C41"/>
    <w:rsid w:val="00235E16"/>
    <w:rsid w:val="003D5349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10821"/>
    <w:rsid w:val="0052771F"/>
    <w:rsid w:val="005D137D"/>
    <w:rsid w:val="005E462E"/>
    <w:rsid w:val="00630C2E"/>
    <w:rsid w:val="006F49EA"/>
    <w:rsid w:val="007504CD"/>
    <w:rsid w:val="00783B1E"/>
    <w:rsid w:val="007E5448"/>
    <w:rsid w:val="008307C4"/>
    <w:rsid w:val="008E7318"/>
    <w:rsid w:val="009205EE"/>
    <w:rsid w:val="009A207B"/>
    <w:rsid w:val="00A53F6F"/>
    <w:rsid w:val="00AE3359"/>
    <w:rsid w:val="00AE7964"/>
    <w:rsid w:val="00B26ED0"/>
    <w:rsid w:val="00B76C4D"/>
    <w:rsid w:val="00BD79B7"/>
    <w:rsid w:val="00C925B3"/>
    <w:rsid w:val="00CD3278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E3D41-BBE5-46B3-982E-FB40CB72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22</Pages>
  <Words>3523</Words>
  <Characters>20083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17</cp:revision>
  <dcterms:created xsi:type="dcterms:W3CDTF">2022-05-26T06:50:00Z</dcterms:created>
  <dcterms:modified xsi:type="dcterms:W3CDTF">2022-06-05T20:12:00Z</dcterms:modified>
</cp:coreProperties>
</file>