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bookmarkStart w:id="1" w:name="__DdeLink__2899_3189508738"/>
      <w:r>
        <w:rPr>
          <w:b/>
          <w:bCs/>
          <w:color w:val="3A00FF"/>
          <w:sz w:val="28"/>
          <w:szCs w:val="28"/>
        </w:rPr>
        <w:t>Mailler mot de passe oublié</w:t>
      </w:r>
      <w:r>
        <w:rPr>
          <w:b/>
          <w:bCs/>
          <w:color w:val="3A00FF"/>
          <w:sz w:val="28"/>
          <w:szCs w:val="28"/>
        </w:rPr>
        <w:t>:</w:t>
      </w:r>
    </w:p>
    <w:p>
      <w:pPr>
        <w:pStyle w:val="Normal"/>
        <w:widowControl/>
        <w:ind w:left="0" w:right="0" w:hanging="0"/>
        <w:jc w:val="left"/>
        <w:rPr>
          <w:b/>
          <w:b/>
          <w:bCs/>
          <w:color w:val="3A00FF"/>
          <w:sz w:val="28"/>
          <w:szCs w:val="28"/>
        </w:rPr>
      </w:pPr>
      <w:r>
        <w:rPr/>
      </w:r>
    </w:p>
    <w:p>
      <w:pPr>
        <w:pStyle w:val="Normal"/>
        <w:widowControl/>
        <w:ind w:left="0" w:right="0" w:hanging="0"/>
        <w:jc w:val="left"/>
        <w:rPr/>
      </w:pPr>
      <w:r>
        <w:rPr/>
        <w:t>1)</w:t>
      </w:r>
      <w:r>
        <w:rPr/>
        <w:t>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r>
        <w:rPr/>
        <w:t>:</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bookmarkStart w:id="2" w:name="__DdeLink__2899_3189508738"/>
      <w:r>
        <w:rPr/>
        <w:t>ResetPasswordRequestRepository.php</w:t>
      </w:r>
      <w:bookmarkEnd w:id="2"/>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720</TotalTime>
  <Application>XLSX_Editor/6.2.8.2$Windows_x86 LibreOffice_project/</Application>
  <Pages>25</Pages>
  <Words>3750</Words>
  <Characters>27456</Characters>
  <CharactersWithSpaces>33679</CharactersWithSpaces>
  <Paragraphs>728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2024-12-20T09:17:45Z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