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480" w:after="80"/>
        <w:jc w:val="center"/>
      </w:pPr>
      <w:r>
        <w:rPr>
          <w:rFonts w:ascii="Arial" w:cs="Arial" w:eastAsia="Arial" w:hAnsi="Arial"/>
          <w:b/>
          <w:bCs/>
          <w:color w:val="1B3A6B"/>
          <w:sz w:val="72"/>
          <w:szCs w:val="72"/>
        </w:rPr>
        <w:t xml:space="preserve">AOS</w:t>
      </w:r>
    </w:p>
    <w:p>
      <w:pPr>
        <w:spacing w:before="0" w:after="80"/>
        <w:jc w:val="center"/>
      </w:pPr>
      <w:r>
        <w:rPr>
          <w:rFonts w:ascii="Arial" w:cs="Arial" w:eastAsia="Arial" w:hAnsi="Arial"/>
          <w:b/>
          <w:bCs/>
          <w:color w:val="2563A8"/>
          <w:sz w:val="40"/>
          <w:szCs w:val="40"/>
        </w:rPr>
        <w:t xml:space="preserve">Agentic Orchestration Architecture</w:t>
      </w:r>
    </w:p>
    <w:p>
      <w:pPr>
        <w:spacing w:before="0" w:after="80"/>
        <w:jc w:val="center"/>
      </w:pPr>
      <w:r>
        <w:rPr>
          <w:rFonts w:ascii="Arial" w:cs="Arial" w:eastAsia="Arial" w:hAnsi="Arial"/>
          <w:i/>
          <w:iCs/>
          <w:color w:val="64748B"/>
          <w:sz w:val="32"/>
          <w:szCs w:val="32"/>
        </w:rPr>
        <w:t xml:space="preserve">AOA — Canonical Blueprint v2</w:t>
      </w:r>
    </w:p>
    <w:p>
      <w:pPr>
        <w:spacing w:before="0" w:after="40"/>
        <w:jc w:val="center"/>
      </w:pPr>
      <w:r>
        <w:rPr>
          <w:rFonts w:ascii="Arial" w:cs="Arial" w:eastAsia="Arial" w:hAnsi="Arial"/>
          <w:color w:val="94A3B8"/>
          <w:sz w:val="20"/>
          <w:szCs w:val="20"/>
        </w:rPr>
        <w:t xml:space="preserve">Refreshed: February 2026 | Based on current market intelligence</w:t>
      </w:r>
    </w:p>
    <w:p>
      <w:pPr>
        <w:spacing w:before="80" w:after="80"/>
      </w:pPr>
      <w:r>
        <w:t xml:space="preserve"/>
      </w:r>
    </w:p>
    <w:p>
      <w:pPr>
        <w:pBdr>
          <w:top w:val="single" w:color="2563A8" w:sz="4" w:space="4"/>
          <w:bottom w:val="single" w:color="2563A8" w:sz="4" w:space="4"/>
        </w:pBdr>
        <w:spacing w:before="160" w:after="160"/>
        <w:jc w:val="center"/>
      </w:pPr>
      <w:r>
        <w:rPr>
          <w:rFonts w:ascii="Arial" w:cs="Arial" w:eastAsia="Arial" w:hAnsi="Arial"/>
          <w:i/>
          <w:iCs/>
          <w:color w:val="1B3A6B"/>
          <w:sz w:val="26"/>
          <w:szCs w:val="26"/>
        </w:rPr>
        <w:t xml:space="preserve">The control plane that turns autonomous agents into a coherent, secure, governable, and economically rational enterprise system.</w:t>
      </w:r>
    </w:p>
    <w:p>
      <w:pPr>
        <w:spacing w:before="80" w:after="80"/>
      </w:pPr>
      <w:r>
        <w:t xml:space="preserve"/>
      </w:r>
    </w:p>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1. Market Reality as of February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D7AA" w:val="clear"/>
            <w:tcMar>
              <w:top w:type="dxa" w:w="160"/>
              <w:left w:type="dxa" w:w="200"/>
              <w:bottom w:type="dxa" w:w="160"/>
              <w:right w:type="dxa" w:w="200"/>
            </w:tcMar>
          </w:tcPr>
          <w:p>
            <w:pPr>
              <w:spacing w:before="0" w:after="80"/>
            </w:pPr>
            <w:r>
              <w:rPr>
                <w:rFonts w:ascii="Arial" w:cs="Arial" w:eastAsia="Arial" w:hAnsi="Arial"/>
                <w:b/>
                <w:bCs/>
                <w:color w:val="1B3A6B"/>
                <w:sz w:val="24"/>
                <w:szCs w:val="24"/>
              </w:rPr>
              <w:t xml:space="preserve">Why This Matters Now</w:t>
            </w:r>
          </w:p>
          <w:p>
            <w:pPr>
              <w:spacing w:before="0" w:after="0"/>
            </w:pPr>
            <w:r>
              <w:rPr>
                <w:rFonts w:ascii="Arial" w:cs="Arial" w:eastAsia="Arial" w:hAnsi="Arial"/>
                <w:i/>
                <w:iCs/>
                <w:sz w:val="22"/>
                <w:szCs w:val="22"/>
              </w:rPr>
              <w:t xml:space="preserve">2025 was supposed to be 'the year of agentic AI.' It wasn't. The fundamentals weren't in place. 2026 is the real inflection point — enterprises are now hitting the scaling wall that AOS was built to solve.</w:t>
            </w:r>
          </w:p>
        </w:tc>
      </w:tr>
    </w:tbl>
    <w:p>
      <w:pPr>
        <w:spacing w:before="80" w:after="80"/>
      </w:pPr>
      <w:r>
        <w:t xml:space="preserve"/>
      </w:r>
    </w:p>
    <w:p>
      <w:pPr>
        <w:spacing w:before="60" w:after="100"/>
      </w:pPr>
      <w:r>
        <w:rPr>
          <w:rFonts w:ascii="Arial" w:cs="Arial" w:eastAsia="Arial" w:hAnsi="Arial"/>
          <w:sz w:val="22"/>
          <w:szCs w:val="22"/>
        </w:rPr>
        <w:t xml:space="preserve">The following figures are sourced from Deloitte, Gartner, and recent market research published through February 2026. They define the environment AOA is designed to operate 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Signal</w:t>
            </w:r>
          </w:p>
        </w:tc>
        <w:tc>
          <w:tcPr>
            <w:tcW w:type="dxa" w:w="3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Point</w:t>
            </w:r>
          </w:p>
        </w:tc>
        <w:tc>
          <w:tcPr>
            <w:tcW w:type="dxa" w:w="2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 Date</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Autonomous AI agent market size by 2026</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$8.5 billion</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Deloitte, Nov 2025</w:t>
            </w:r>
          </w:p>
        </w:tc>
      </w:tr>
      <w:tr>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Market projection by 2030</w:t>
            </w:r>
          </w:p>
        </w:tc>
        <w:tc>
          <w:tcPr>
            <w:tcW w:type="dxa" w:w="3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$35B–$52B (up to $45B with better orchestration)</w:t>
            </w:r>
          </w:p>
        </w:tc>
        <w:tc>
          <w:tcPr>
            <w:tcW w:type="dxa" w:w="2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Deloitte / MLMastery, Jan 2026</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Enterprise apps with embedded AI agents by 2026</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40%+ (Gartner)</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Gartner, cited Jan 2026</w:t>
            </w:r>
          </w:p>
        </w:tc>
      </w:tr>
      <w:tr>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Enterprise apps with agentic AI by 2028</w:t>
            </w:r>
          </w:p>
        </w:tc>
        <w:tc>
          <w:tcPr>
            <w:tcW w:type="dxa" w:w="3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33% (up from &lt;1% in 2024)</w:t>
            </w:r>
          </w:p>
        </w:tc>
        <w:tc>
          <w:tcPr>
            <w:tcW w:type="dxa" w:w="2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Gartner, cited multiple sources</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Multi-agent system inquiries growth Q1 2024 → Q2 2025</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+1,445%</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Gartner via MLMastery, Jan 2026</w:t>
            </w:r>
          </w:p>
        </w:tc>
      </w:tr>
      <w:tr>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SDK monthly downloads (late 2025)</w:t>
            </w:r>
          </w:p>
        </w:tc>
        <w:tc>
          <w:tcPr>
            <w:tcW w:type="dxa" w:w="3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97 million</w:t>
            </w:r>
          </w:p>
        </w:tc>
        <w:tc>
          <w:tcPr>
            <w:tcW w:type="dxa" w:w="2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Medium / MCP tracking, Feb 2026</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Organizations with AI tools in daily operations</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78%</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Clarifai / AI agent usage index, 2025</w:t>
            </w:r>
          </w:p>
        </w:tc>
      </w:tr>
      <w:tr>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Organizations with agents in at least one workflow</w:t>
            </w:r>
          </w:p>
        </w:tc>
        <w:tc>
          <w:tcPr>
            <w:tcW w:type="dxa" w:w="3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85%</w:t>
            </w:r>
          </w:p>
        </w:tc>
        <w:tc>
          <w:tcPr>
            <w:tcW w:type="dxa" w:w="2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Clarifai / AI agent usage index, 2025</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Machine-to-human identity ratio in enterprise</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82:1 (avg); up to 96:1 in financial services</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Rubrik Zero Labs / CyberArk, Nov 2025</w:t>
            </w:r>
          </w:p>
        </w:tc>
      </w:tr>
      <w:tr>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Organizations that completed a GenAI project (GBS survey)</w:t>
            </w:r>
          </w:p>
        </w:tc>
        <w:tc>
          <w:tcPr>
            <w:tcW w:type="dxa" w:w="3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35% — 65% had not completed one</w:t>
            </w:r>
          </w:p>
        </w:tc>
        <w:tc>
          <w:tcPr>
            <w:tcW w:type="dxa" w:w="2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SSON Summit, Feb 2025</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high-risk enforcement deadline</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August 2, 2026 (7 months from today)</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Commission, enforced</w:t>
            </w:r>
          </w:p>
        </w:tc>
      </w:tr>
      <w:tr>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Penalty for non-compliance</w:t>
            </w:r>
          </w:p>
        </w:tc>
        <w:tc>
          <w:tcPr>
            <w:tcW w:type="dxa" w:w="3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Up to €35M or 7% of global revenue</w:t>
            </w:r>
          </w:p>
        </w:tc>
        <w:tc>
          <w:tcPr>
            <w:tcW w:type="dxa" w:w="2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Article 113</w:t>
            </w:r>
          </w:p>
        </w:tc>
      </w:tr>
      <w:tr>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Day-to-day work decisions made autonomously by AI agents by 2028</w:t>
            </w:r>
          </w:p>
        </w:tc>
        <w:tc>
          <w:tcPr>
            <w:tcW w:type="dxa" w:w="3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15%</w:t>
            </w:r>
          </w:p>
        </w:tc>
        <w:tc>
          <w:tcPr>
            <w:tcW w:type="dxa" w:w="2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Gartner forecast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1B3A6B"/>
                <w:sz w:val="24"/>
                <w:szCs w:val="24"/>
              </w:rPr>
              <w:t xml:space="preserve">The Core Problem AOA Solves</w:t>
            </w:r>
          </w:p>
          <w:p>
            <w:pPr>
              <w:spacing w:before="0" w:after="0"/>
            </w:pPr>
            <w:r>
              <w:rPr>
                <w:rFonts w:ascii="Arial" w:cs="Arial" w:eastAsia="Arial" w:hAnsi="Arial"/>
                <w:i/>
                <w:iCs/>
                <w:sz w:val="22"/>
                <w:szCs w:val="22"/>
              </w:rPr>
              <w:t xml:space="preserve">80% of surveyed enterprise leaders believe they have mature basic automation. Only 28% believe the same for AI agent efforts. The gap is orchestration, governance, and trust — not model capability. AOA closes this gap.</w:t>
            </w:r>
          </w:p>
        </w:tc>
      </w:tr>
    </w:tbl>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2. Protocol Landscape: MCP + A2A (Feb 2026 Reality)</w:t>
      </w:r>
    </w:p>
    <w:p>
      <w:pPr>
        <w:spacing w:before="60" w:after="100"/>
      </w:pPr>
      <w:r>
        <w:rPr>
          <w:rFonts w:ascii="Arial" w:cs="Arial" w:eastAsia="Arial" w:hAnsi="Arial"/>
          <w:sz w:val="22"/>
          <w:szCs w:val="22"/>
        </w:rPr>
        <w:t xml:space="preserve">Two complementary protocols now define the agent interoperability standard. Both were donated to the Linux Foundation Agentic AI Foundation in December 2025, with OpenAI, Google, Microsoft, and Anthropic all signatories. This almost never happens — it signals protocol convergence.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MCP (Model Context Protocol)</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A2A (Agent-to-Agent Protocol)</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Origin / Date</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Anthropic, November 2024</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Google Cloud, April 2025; Linux Foundation June 2025</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What it solves</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How a single agent connects to tools, data sources, and APIs vertically</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How agents from different vendors communicate with each other horizontally</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Analogy</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Plugin system for agents</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HTTP for agents — networking layer</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Transport</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JSON-RPC 2.0, SSE, Streamable HTTP</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HTTP, SSE, JSON-RPC; OAuth 2.0 / PKCE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Market adoption (late 2025)</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97M monthly SDK downloads; de facto standard; Claude, Gemini, OpenAI all support</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150+ enterprise partners; dominant in cross-vendor scenarios</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Status as of Feb 2026</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Clear winner in developer ecosystem</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Enterprise-grade cross-vendor standard; consolidating around MCP for internal tooling</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Key security concern</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server impersonation, over-permissive defaults, tenant isolation</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card spoofing, cross-domain trust delegation</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role</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governs which MCP servers agents can connect to; enforces least-privilege on MCP tool calls</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issues and validates A2A agent cards; enforces cross-org trust tiers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1B3A6B"/>
                <w:sz w:val="24"/>
                <w:szCs w:val="24"/>
              </w:rPr>
              <w:t xml:space="preserve">Architectural Implication for AOA</w:t>
            </w:r>
          </w:p>
          <w:p>
            <w:pPr>
              <w:spacing w:before="0" w:after="0"/>
            </w:pPr>
            <w:r>
              <w:rPr>
                <w:rFonts w:ascii="Arial" w:cs="Arial" w:eastAsia="Arial" w:hAnsi="Arial"/>
                <w:i/>
                <w:iCs/>
                <w:sz w:val="22"/>
                <w:szCs w:val="22"/>
              </w:rPr>
              <w:t xml:space="preserve">AOA must be MCP-aware at the policy layer: every tool call an agent makes via MCP is a policy decision (which server, which tool, which scope). AOA must support A2A agent cards for cross-vendor and cross-org coordination. Both protocols are now table stakes for any enterprise agentic control plane.</w:t>
            </w:r>
          </w:p>
        </w:tc>
      </w:tr>
    </w:tbl>
    <w:p>
      <w:pPr>
        <w:spacing w:before="80" w:after="80"/>
      </w:pPr>
      <w:r>
        <w:t xml:space="preserve"/>
      </w:r>
    </w:p>
    <w:p>
      <w:pPr>
        <w:spacing w:before="60" w:after="100"/>
      </w:pPr>
      <w:r>
        <w:rPr>
          <w:rFonts w:ascii="Arial" w:cs="Arial" w:eastAsia="Arial" w:hAnsi="Arial"/>
          <w:sz w:val="22"/>
          <w:szCs w:val="22"/>
        </w:rPr>
        <w:t xml:space="preserve">Jensen Huang (NVIDIA CEO, November 2025) on MCP: 'The work on MCP has completely revolutionized the AI landscape.' The statement reflects market reality — standards create ecosystems, and this ecosystem is now the foundation AOA operates within.</w:t>
      </w:r>
    </w:p>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3. Security Architecture: OWASP Agentic Top 10 (Dec 2025)</w:t>
      </w:r>
    </w:p>
    <w:p>
      <w:pPr>
        <w:spacing w:before="60" w:after="100"/>
      </w:pPr>
      <w:r>
        <w:rPr>
          <w:rFonts w:ascii="Arial" w:cs="Arial" w:eastAsia="Arial" w:hAnsi="Arial"/>
          <w:sz w:val="22"/>
          <w:szCs w:val="22"/>
        </w:rPr>
        <w:t xml:space="preserve">The OWASP Top 10 for Agentic Applications 2026 was released December 10, 2025 — the first globally peer-reviewed security framework for autonomous AI systems, developed by 100+ experts including NIST, European Commission representatives, AWS, and Microsoft. AOA must be architected to address all 10 risks.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OWASP ID</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AOA Control Required</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ASI01</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Prompt Injection</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Context sanitization layer; input validation before agent logic executes; injection defense (already in RACI)</w:t>
            </w:r>
          </w:p>
        </w:tc>
      </w:tr>
      <w:tr>
        <w:tc>
          <w:tcPr>
            <w:tcW w:type="dxa" w:w="1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ASI02</w:t>
            </w:r>
          </w:p>
        </w:tc>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Excessive Agency (over-privileged agents)</w:t>
            </w:r>
          </w:p>
        </w:tc>
        <w:tc>
          <w:tcPr>
            <w:tcW w:type="dxa" w:w="4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Capability contracts + autonomy bounds enforcement; least-privilege per capability; dynamic permission scoping</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ASI03</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Insecure Tool Use / MCP Abuse</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server allowlisting per agent; tool-level permissioning; runtime tool call auditing</w:t>
            </w:r>
          </w:p>
        </w:tc>
      </w:tr>
      <w:tr>
        <w:tc>
          <w:tcPr>
            <w:tcW w:type="dxa" w:w="1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ASI04</w:t>
            </w:r>
          </w:p>
        </w:tc>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Delegated Trust Abuse</w:t>
            </w:r>
          </w:p>
        </w:tc>
        <w:tc>
          <w:tcPr>
            <w:tcW w:type="dxa" w:w="4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identity tiering (native/customer/3rd-party); explicit delegation rules; chain-of-trust enforcement in A2A calls</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ASI05</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Supply Chain Compromise</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AI Software Bill of Materials (AI-SBOM) per agent; provenance tracking; capability contract integrity verification</w:t>
            </w:r>
          </w:p>
        </w:tc>
      </w:tr>
      <w:tr>
        <w:tc>
          <w:tcPr>
            <w:tcW w:type="dxa" w:w="1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ASI06</w:t>
            </w:r>
          </w:p>
        </w:tc>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Cascading Failure / Blast Radius</w:t>
            </w:r>
          </w:p>
        </w:tc>
        <w:tc>
          <w:tcPr>
            <w:tcW w:type="dxa" w:w="4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Containment policies; concurrency caps; fan-out limits; circuit-breaker patterns in coordination layer</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ASI07</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Data Leakage via Agents</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Context-aware data minimization; pointer-only access (DCL integration); pre-execution PII redaction</w:t>
            </w:r>
          </w:p>
        </w:tc>
      </w:tr>
      <w:tr>
        <w:tc>
          <w:tcPr>
            <w:tcW w:type="dxa" w:w="1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ASI08</w:t>
            </w:r>
          </w:p>
        </w:tc>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Memory / State Corruption</w:t>
            </w:r>
          </w:p>
        </w:tc>
        <w:tc>
          <w:tcPr>
            <w:tcW w:type="dxa" w:w="4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Scoped memory access per agent; session isolation; memory access audit log</w:t>
            </w:r>
          </w:p>
        </w:tc>
      </w:tr>
      <w:tr>
        <w:tc>
          <w:tcPr>
            <w:tcW w:type="dxa" w:w="1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ASI09</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Insufficient Audit Trail</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Full execution trace (who, what, intent, outcome, cost); deterministic replay; forensic retention policy</w:t>
            </w:r>
          </w:p>
        </w:tc>
      </w:tr>
      <w:tr>
        <w:tc>
          <w:tcPr>
            <w:tcW w:type="dxa" w:w="1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ASI10</w:t>
            </w:r>
          </w:p>
        </w:tc>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Rogue Agents (misaligned behavior)</w:t>
            </w:r>
          </w:p>
        </w:tc>
        <w:tc>
          <w:tcPr>
            <w:tcW w:type="dxa" w:w="4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Behavioral drift detection; zombie agent detection; FARM ground-truth evaluation; kill switch + quarantine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00"/>
              <w:bottom w:type="dxa" w:w="160"/>
              <w:right w:type="dxa" w:w="200"/>
            </w:tcMar>
          </w:tcPr>
          <w:p>
            <w:pPr>
              <w:spacing w:before="0" w:after="80"/>
            </w:pPr>
            <w:r>
              <w:rPr>
                <w:rFonts w:ascii="Arial" w:cs="Arial" w:eastAsia="Arial" w:hAnsi="Arial"/>
                <w:b/>
                <w:bCs/>
                <w:color w:val="1B3A6B"/>
                <w:sz w:val="24"/>
                <w:szCs w:val="24"/>
              </w:rPr>
              <w:t xml:space="preserve">OWASP Alignment = Enterprise-Grade Credibility</w:t>
            </w:r>
          </w:p>
          <w:p>
            <w:pPr>
              <w:spacing w:before="0" w:after="0"/>
            </w:pPr>
            <w:r>
              <w:rPr>
                <w:rFonts w:ascii="Arial" w:cs="Arial" w:eastAsia="Arial" w:hAnsi="Arial"/>
                <w:i/>
                <w:iCs/>
                <w:sz w:val="22"/>
                <w:szCs w:val="22"/>
              </w:rPr>
              <w:t xml:space="preserve">Any enterprise procurement team asking 'how do you address agentic security risks?' can be handed this matrix. AOA's RACI already owns the controls for all 10 OWASP risks. The gap is making this explicit in architecture documentation and product positioning.</w:t>
            </w:r>
          </w:p>
        </w:tc>
      </w:tr>
    </w:tbl>
    <w:p>
      <w:pPr>
        <w:spacing w:before="80" w:after="80"/>
      </w:pPr>
      <w:r>
        <w:t xml:space="preserve"/>
      </w:r>
    </w:p>
    <w:p>
      <w:pPr>
        <w:spacing w:before="60" w:after="100"/>
      </w:pPr>
      <w:r>
        <w:rPr>
          <w:rFonts w:ascii="Arial" w:cs="Arial" w:eastAsia="Arial" w:hAnsi="Arial"/>
          <w:sz w:val="22"/>
          <w:szCs w:val="22"/>
        </w:rPr>
        <w:t xml:space="preserve">Key market signal: Microsoft's agentic failure modes documentation references the OWASP Agentic Threats &amp; Mitigations framework. NVIDIA's Safety and Security Framework references the OWASP Threat Modelling Guide. GoDaddy has deployed the Agentic Naming Service proposal to production. These are not theoretical documents.</w:t>
      </w:r>
    </w:p>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4. Non-Human Identity (NHI) Crisis — The Identity Problem AOA Must Solve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00"/>
              <w:bottom w:type="dxa" w:w="160"/>
              <w:right w:type="dxa" w:w="200"/>
            </w:tcMar>
          </w:tcPr>
          <w:p>
            <w:pPr>
              <w:spacing w:before="0" w:after="80"/>
            </w:pPr>
            <w:r>
              <w:rPr>
                <w:rFonts w:ascii="Arial" w:cs="Arial" w:eastAsia="Arial" w:hAnsi="Arial"/>
                <w:b/>
                <w:bCs/>
                <w:color w:val="1B3A6B"/>
                <w:sz w:val="24"/>
                <w:szCs w:val="24"/>
              </w:rPr>
              <w:t xml:space="preserve">The Scale Problem</w:t>
            </w:r>
          </w:p>
          <w:p>
            <w:pPr>
              <w:spacing w:before="0" w:after="0"/>
            </w:pPr>
            <w:r>
              <w:rPr>
                <w:rFonts w:ascii="Arial" w:cs="Arial" w:eastAsia="Arial" w:hAnsi="Arial"/>
                <w:i/>
                <w:iCs/>
                <w:sz w:val="22"/>
                <w:szCs w:val="22"/>
              </w:rPr>
              <w:t xml:space="preserve">Non-human identities now outnumber human users 82-to-1 in the average enterprise. A single customer service AI agent may require 15–20 distinct NHIs to function. Enterprises deploying hundreds of agents face a governance crisis that traditional IAM frameworks were not built for.</w:t>
            </w:r>
          </w:p>
        </w:tc>
      </w:tr>
    </w:tbl>
    <w:p>
      <w:pPr>
        <w:spacing w:before="80" w:after="80"/>
      </w:pPr>
      <w:r>
        <w:t xml:space="preserve"/>
      </w:r>
    </w:p>
    <w:p>
      <w:pPr>
        <w:spacing w:before="60" w:after="100"/>
      </w:pPr>
      <w:r>
        <w:rPr>
          <w:rFonts w:ascii="Arial" w:cs="Arial" w:eastAsia="Arial" w:hAnsi="Arial"/>
          <w:sz w:val="22"/>
          <w:szCs w:val="22"/>
        </w:rPr>
        <w:t xml:space="preserve">This is the fastest-growing enterprise security problem of 2025–2026, per Rubrik Zero Labs, CyberArk, Gartner, WEF, and KPMG. It is directly relevant to AOA because AOA is the system that issues, governs, and retires agent identities.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NHI Dimension</w:t>
            </w:r>
          </w:p>
        </w:tc>
        <w:tc>
          <w:tcPr>
            <w:tcW w:type="dxa" w:w="3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Reality</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AOA Requirement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Scale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82:1 machine-to-human ratio; up to 96:1 in financial services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registry must scale to thousands of agents per tenant</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Lifecycle</w:t>
            </w:r>
          </w:p>
        </w:tc>
        <w:tc>
          <w:tcPr>
            <w:tcW w:type="dxa" w:w="3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38% of NHI accounts are dormant; 27.8% of permissions ungoverned</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Zombie detection + automated deprecation + permission expiry</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Identity issuance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Single agent may need 15–20 distinct NHIs across systems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issues agent identity; governs all downstream NHI delegation</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Attack surface</w:t>
            </w:r>
          </w:p>
        </w:tc>
        <w:tc>
          <w:tcPr>
            <w:tcW w:type="dxa" w:w="3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Compromised NHIs featured in Cloudflare breach, US Treasury attack</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Least-privilege enforcement; no over-permissioned service accounts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Governance gap</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Most IAM frameworks designed for human users — not agents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is the IAM layer for agents; distinct from enterprise IdP</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Regulatory driver</w:t>
            </w:r>
          </w:p>
        </w:tc>
        <w:tc>
          <w:tcPr>
            <w:tcW w:type="dxa" w:w="3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SOX, HIPAA, GDPR, NIST, EU AI Act — all require auditable access control</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Full audit trail; conformity assessment evidence; incident reporting</w:t>
            </w:r>
          </w:p>
        </w:tc>
      </w:tr>
    </w:tbl>
    <w:p>
      <w:pPr>
        <w:spacing w:before="80" w:after="80"/>
      </w:pPr>
      <w:r>
        <w:t xml:space="preserve"/>
      </w:r>
    </w:p>
    <w:p>
      <w:pPr>
        <w:spacing w:before="60" w:after="100"/>
      </w:pPr>
      <w:r>
        <w:rPr>
          <w:rFonts w:ascii="Arial" w:cs="Arial" w:eastAsia="Arial" w:hAnsi="Arial"/>
          <w:sz w:val="22"/>
          <w:szCs w:val="22"/>
        </w:rPr>
        <w:t xml:space="preserve">Emerging NHI security vendors (Veza, Oasis Security, Aembit, Entro, Astrix) are building point solutions for this problem. AOA's advantage: NHI governance is integrated into the full agent lifecycle — not a bolted-on security layer. This is a competitive differentiator.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2880"/>
      </w:tblGrid>
      <w:t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Vendor</w:t>
            </w:r>
          </w:p>
        </w:tc>
        <w:tc>
          <w:tcPr>
            <w:tcW w:type="dxa" w:w="42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AOA Position</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Veza AI Agent Security</w:t>
            </w:r>
          </w:p>
        </w:tc>
        <w:tc>
          <w:tcPr>
            <w:tcW w:type="dxa" w:w="4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AI Security Posture Management (AI-SPM); agents-to-human identity mapping; access governance</w:t>
            </w:r>
          </w:p>
        </w:tc>
        <w:tc>
          <w:tcPr>
            <w:tcW w:type="dxa" w:w="2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owns identity issuance + lifecycle; Veza equivalent is built-in, not bolted-on</w:t>
            </w:r>
          </w:p>
        </w:tc>
      </w:tr>
      <w:tr>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Oasis Security</w:t>
            </w:r>
          </w:p>
        </w:tc>
        <w:tc>
          <w:tcPr>
            <w:tcW w:type="dxa" w:w="42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Governed agentic access management (AAM); intent-aware access control</w:t>
            </w:r>
          </w:p>
        </w:tc>
        <w:tc>
          <w:tcPr>
            <w:tcW w:type="dxa" w:w="28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policy engine covers this natively; not a separate product</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Aembit</w:t>
            </w:r>
          </w:p>
        </w:tc>
        <w:tc>
          <w:tcPr>
            <w:tcW w:type="dxa" w:w="4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Workload IAM for agents + MCP servers; secretless auth; OAuth/OIDC/SPIFFE</w:t>
            </w:r>
          </w:p>
        </w:tc>
        <w:tc>
          <w:tcPr>
            <w:tcW w:type="dxa" w:w="2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integrates these auth standards; Aembit pattern is the reference architecture</w:t>
            </w:r>
          </w:p>
        </w:tc>
      </w:tr>
      <w:tr>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Entro Security</w:t>
            </w:r>
          </w:p>
        </w:tc>
        <w:tc>
          <w:tcPr>
            <w:tcW w:type="dxa" w:w="42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NHI discovery, lifecycle, and anomaly detection for secrets + agents</w:t>
            </w:r>
          </w:p>
        </w:tc>
        <w:tc>
          <w:tcPr>
            <w:tcW w:type="dxa" w:w="28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zombie detection + lifecycle management covers this scope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Astrix Security</w:t>
            </w:r>
          </w:p>
        </w:tc>
        <w:tc>
          <w:tcPr>
            <w:tcW w:type="dxa" w:w="42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server visibility + non-human identity governance</w:t>
            </w:r>
          </w:p>
        </w:tc>
        <w:tc>
          <w:tcPr>
            <w:tcW w:type="dxa" w:w="2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MCP allowlisting + audit covers this; Astrix is a point-solution substitute</w:t>
            </w:r>
          </w:p>
        </w:tc>
      </w:tr>
    </w:tbl>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5. Regulatory &amp; Compliance Grid</w:t>
      </w:r>
    </w:p>
    <w:p>
      <w:pPr>
        <w:spacing w:before="60" w:after="100"/>
      </w:pPr>
      <w:r>
        <w:rPr>
          <w:rFonts w:ascii="Arial" w:cs="Arial" w:eastAsia="Arial" w:hAnsi="Arial"/>
          <w:sz w:val="22"/>
          <w:szCs w:val="22"/>
        </w:rPr>
        <w:t xml:space="preserve">AOA operates in a regulated environment. The following frameworks directly shape what AOA must provide as evidence of compliance. The EU AI Act deadline is not theoretical — Finland activated enforcement January 1, 2026.</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Framework</w:t>
            </w:r>
          </w:p>
        </w:tc>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Relevant Deadline</w:t>
            </w:r>
          </w:p>
        </w:tc>
        <w:tc>
          <w:tcPr>
            <w:tcW w:type="dxa" w:w="4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AOA Requirements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 Prohibited Practices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In force Feb 2, 2025</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No manipulation, social scoring, or emotion recognition — AOA policy engine must block prohibited agent behaviors</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 GPAI Model Obligations</w:t>
            </w:r>
          </w:p>
        </w:tc>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In force Aug 2, 2025</w:t>
            </w:r>
          </w:p>
        </w:tc>
        <w:tc>
          <w:tcPr>
            <w:tcW w:type="dxa" w:w="4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Technical documentation, transparency, copyright compliance for agent capability models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 High-Risk Systems (Annex III)</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Aug 2, 2026 (6 months)</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Risk management, data governance, record-keeping, human oversight, accuracy, robustness, cybersecurity, conformity assessment, incident reporting</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 Transparency (Art. 50)</w:t>
            </w:r>
          </w:p>
        </w:tc>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Aug 2, 2026 (6 months)</w:t>
            </w:r>
          </w:p>
        </w:tc>
        <w:tc>
          <w:tcPr>
            <w:tcW w:type="dxa" w:w="4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Disclosure of AI agent interactions; labeling of AI-generated content; deepfake identification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NIST AI RMF</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Ongoing (voluntary, becoming de facto)</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Govern, Map, Measure, Manage — AOA lifecycle + observability provides evidence across all four functions</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ISO/IEC 42001</w:t>
            </w:r>
          </w:p>
        </w:tc>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Voluntary, enterprise certification</w:t>
            </w:r>
          </w:p>
        </w:tc>
        <w:tc>
          <w:tcPr>
            <w:tcW w:type="dxa" w:w="4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AI management system requirements — AOA audit trail + lifecycle documentation supports certification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SOX (AI-integrated controls)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Ongoing</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Audit trail for any AI agent touching financial systems; human override logging; deterministic replay</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HIPAA (healthcare deployments)</w:t>
            </w:r>
          </w:p>
        </w:tc>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Ongoing</w:t>
            </w:r>
          </w:p>
        </w:tc>
        <w:tc>
          <w:tcPr>
            <w:tcW w:type="dxa" w:w="4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PII/PHI redaction pre-agent-logic; access scoping; breach notification via incident reporting hooks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Agentic Top 10</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Published Dec 2025, referenced by enterprise procurement</w:t>
            </w:r>
          </w:p>
        </w:tc>
        <w:tc>
          <w:tcPr>
            <w:tcW w:type="dxa" w:w="4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All 10 risks mapped to AOA controls (see Section 3)</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D7AA" w:val="clear"/>
            <w:tcMar>
              <w:top w:type="dxa" w:w="160"/>
              <w:left w:type="dxa" w:w="200"/>
              <w:bottom w:type="dxa" w:w="160"/>
              <w:right w:type="dxa" w:w="200"/>
            </w:tcMar>
          </w:tcPr>
          <w:p>
            <w:pPr>
              <w:spacing w:before="0" w:after="80"/>
            </w:pPr>
            <w:r>
              <w:rPr>
                <w:rFonts w:ascii="Arial" w:cs="Arial" w:eastAsia="Arial" w:hAnsi="Arial"/>
                <w:b/>
                <w:bCs/>
                <w:color w:val="1B3A6B"/>
                <w:sz w:val="24"/>
                <w:szCs w:val="24"/>
              </w:rPr>
              <w:t xml:space="preserve">The August 2026 Deadline</w:t>
            </w:r>
          </w:p>
          <w:p>
            <w:pPr>
              <w:spacing w:before="0" w:after="0"/>
            </w:pPr>
            <w:r>
              <w:rPr>
                <w:rFonts w:ascii="Arial" w:cs="Arial" w:eastAsia="Arial" w:hAnsi="Arial"/>
                <w:i/>
                <w:iCs/>
                <w:sz w:val="22"/>
                <w:szCs w:val="22"/>
              </w:rPr>
              <w:t xml:space="preserve">The EU AI Act's August 2, 2026 full enforcement date creates a hard deadline for any enterprise deploying AI agents in or selling to European markets. Conformity assessments alone take 6–12 months. Enterprises evaluating agentic platforms today will ask: 'How does this platform support EU AI Act compliance?' AOA's audit trail, human oversight hooks, and lifecycle documentation directly answer this question.</w:t>
            </w:r>
          </w:p>
        </w:tc>
      </w:tr>
    </w:tbl>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6. Competitive Landscape: Direct &amp; Lateral Platforms</w:t>
      </w:r>
    </w:p>
    <w:p>
      <w:pPr>
        <w:spacing w:before="60" w:after="100"/>
      </w:pPr>
      <w:r>
        <w:rPr>
          <w:rFonts w:ascii="Arial" w:cs="Arial" w:eastAsia="Arial" w:hAnsi="Arial"/>
          <w:sz w:val="22"/>
          <w:szCs w:val="22"/>
        </w:rPr>
        <w:t xml:space="preserve">The following is the current-state competitive grid as of February 2026. No single competitor has the full AOA capability stack. Most are framework-level, point-solution, or domain-specific.</w:t>
      </w:r>
    </w:p>
    <w:p>
      <w:pPr>
        <w:spacing w:before="80" w:after="80"/>
      </w:pPr>
      <w:r>
        <w:t xml:space="preserve"/>
      </w:r>
    </w:p>
    <w:p>
      <w:pPr>
        <w:pStyle w:val="Heading2"/>
        <w:pBdr>
          <w:bottom w:val="single" w:color="2563A8" w:sz="4" w:space="4"/>
        </w:pBdr>
        <w:spacing w:before="320" w:after="120"/>
      </w:pPr>
      <w:r>
        <w:rPr>
          <w:rFonts w:ascii="Arial" w:cs="Arial" w:eastAsia="Arial" w:hAnsi="Arial"/>
          <w:b/>
          <w:bCs/>
          <w:color w:val="2563A8"/>
          <w:sz w:val="28"/>
          <w:szCs w:val="28"/>
        </w:rPr>
        <w:t xml:space="preserve">6.1 Direct Orchestration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w:t>
            </w:r>
          </w:p>
        </w:tc>
        <w:tc>
          <w:tcPr>
            <w:tcW w:type="dxa" w:w="33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 vs AOA</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LangGraph (LangChain)</w:t>
            </w:r>
          </w:p>
        </w:tc>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State machine orchestration; 2.2x faster than CrewAI in benchmarks; 14K GitHub stars, 4.2M monthly downloads; Klarna reduced resolution time 80%</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No enterprise lifecycle management; no NHI governance; no economic controls; framework only — no control plane</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AutoGen (Microsoft)</w:t>
            </w:r>
          </w:p>
        </w:tc>
        <w:tc>
          <w:tcPr>
            <w:tcW w:type="dxa" w:w="36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Role-based multi-agent; strong governance hooks; Semantic Kernel integration with Azure AI Foundry (1,800+ models)</w:t>
            </w:r>
          </w:p>
        </w:tc>
        <w:tc>
          <w:tcPr>
            <w:tcW w:type="dxa" w:w="3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Azure-locked for enterprise features; no agent registry as first-class system; no zombie detection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CrewAI</w:t>
            </w:r>
          </w:p>
        </w:tc>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Simplest setup; 32K GitHub stars; 1M monthly downloads; popular for customer service / marketing</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No governance; no lifecycle; no enterprise identity; passes full output tokens between agents (inefficient at scale)</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AWS Bedrock Agents</w:t>
            </w:r>
          </w:p>
        </w:tc>
        <w:tc>
          <w:tcPr>
            <w:tcW w:type="dxa" w:w="36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Action groups as capability contracts; deep AWS ecosystem; Step Functions for runtime</w:t>
            </w:r>
          </w:p>
        </w:tc>
        <w:tc>
          <w:tcPr>
            <w:tcW w:type="dxa" w:w="3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Vendor-locked; no cross-vendor agent coordination; no A2A; no economic controls outside AWS Cost Explorer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Azure AI Foundry / Copilot Studio</w:t>
            </w:r>
          </w:p>
        </w:tc>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Computer use; 1,800+ models; HITL built into Copilot Studio; Microsoft 365 integration</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Microsoft ecosystem dependency; no neutral control plane; no agent-to-agent trust tiering</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Salesforce Agentforce 3.0</w:t>
            </w:r>
          </w:p>
        </w:tc>
        <w:tc>
          <w:tcPr>
            <w:tcW w:type="dxa" w:w="36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CRM-native; Einstein Trust Layer; strong enterprise deployment record; direct enterprise contracts</w:t>
            </w:r>
          </w:p>
        </w:tc>
        <w:tc>
          <w:tcPr>
            <w:tcW w:type="dxa" w:w="3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CRM-domain only; no fabric abstraction; Agentforce 3.0 (June 2025) still limited to Salesforce data plane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ServiceNow AI Control Tower</w:t>
            </w:r>
          </w:p>
        </w:tc>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Enterprise workflow; Moveworks acquisition (March 2025); IT/HR focus; strong governance lineage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ITSM domain; limited to ServiceNow ecosystem; no cross-domain agent coordination</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Temporal (workflow runtime)</w:t>
            </w:r>
          </w:p>
        </w:tc>
        <w:tc>
          <w:tcPr>
            <w:tcW w:type="dxa" w:w="36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Production-grade task queues; retry/timeout/idempotency; used by Stripe, Snap, Coinbase at scale</w:t>
            </w:r>
          </w:p>
        </w:tc>
        <w:tc>
          <w:tcPr>
            <w:tcW w:type="dxa" w:w="33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Runtime infrastructure only — no agent registry, no identity, no policy, no semantic context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Palantir AIP</w:t>
            </w:r>
          </w:p>
        </w:tc>
        <w:tc>
          <w:tcPr>
            <w:tcW w:type="dxa" w:w="36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Enterprise semantic context + orchestration; closed but instructive; strong governance; defense-grade</w:t>
            </w:r>
          </w:p>
        </w:tc>
        <w:tc>
          <w:tcPr>
            <w:tcW w:type="dxa" w:w="33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Closed/proprietary; extremely expensive; designed for defense/intelligence verticals, not broad enterprise</w:t>
            </w:r>
          </w:p>
        </w:tc>
      </w:tr>
    </w:tbl>
    <w:p>
      <w:pPr>
        <w:spacing w:before="80" w:after="80"/>
      </w:pPr>
      <w:r>
        <w:t xml:space="preserve"/>
      </w:r>
    </w:p>
    <w:p>
      <w:pPr>
        <w:pStyle w:val="Heading2"/>
        <w:pBdr>
          <w:bottom w:val="single" w:color="2563A8" w:sz="4" w:space="4"/>
        </w:pBdr>
        <w:spacing w:before="320" w:after="120"/>
      </w:pPr>
      <w:r>
        <w:rPr>
          <w:rFonts w:ascii="Arial" w:cs="Arial" w:eastAsia="Arial" w:hAnsi="Arial"/>
          <w:b/>
          <w:bCs/>
          <w:color w:val="2563A8"/>
          <w:sz w:val="28"/>
          <w:szCs w:val="28"/>
        </w:rPr>
        <w:t xml:space="preserve">6.2 Lateral Technologies (Adjacent, Not Direct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3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Players</w:t>
            </w:r>
          </w:p>
        </w:tc>
        <w:tc>
          <w:tcPr>
            <w:tcW w:type="dxa" w:w="39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Relevance to AOA</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Observability / Eval</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LangSmith, Humanloop, TruEra, WhyLabs, Weights &amp; Biases, Helicone</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integrates tracing natively with execution layer — no separate tool required for core audit. FARM provides ground-truth eval.</w:t>
            </w:r>
          </w:p>
        </w:tc>
      </w:tr>
      <w:tr>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Guardrails / Safety</w:t>
            </w:r>
          </w:p>
        </w:tc>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Guardrails AI, Pomerium (MCP access control), NVIDIA NeMo Guardrails</w:t>
            </w:r>
          </w:p>
        </w:tc>
        <w:tc>
          <w:tcPr>
            <w:tcW w:type="dxa" w:w="3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policy engine covers agent-level guardrails natively. MCP access control is AOA's scope.</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NHI Security</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Veza, Oasis, Aembit, Entro, Astrix (see Section 4)</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covers this as integrated lifecycle function, not a bolted-on product.</w:t>
            </w:r>
          </w:p>
        </w:tc>
      </w:tr>
      <w:tr>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AI Governance Platforms</w:t>
            </w:r>
          </w:p>
        </w:tc>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ModelOp (Gartner 2025 Market Guide), IBM OpenScale/Watsonx</w:t>
            </w:r>
          </w:p>
        </w:tc>
        <w:tc>
          <w:tcPr>
            <w:tcW w:type="dxa" w:w="3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provides governance evidence (audit, trace, lifecycle docs) that feeds these platforms.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Data Platforms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Snowflake, Databricks (with AI Gateway)</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Lateral — AOA uses DCL as semantic context layer; data platforms are fabric endpoints, not competitors.</w:t>
            </w:r>
          </w:p>
        </w:tc>
      </w:tr>
      <w:tr>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iPaaS / Integration</w:t>
            </w:r>
          </w:p>
        </w:tc>
        <w:tc>
          <w:tcPr>
            <w:tcW w:type="dxa" w:w="3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Workato, MuleSoft, Zapier Agents, Boomi</w:t>
            </w:r>
          </w:p>
        </w:tc>
        <w:tc>
          <w:tcPr>
            <w:tcW w:type="dxa" w:w="39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Lateral — AAM integrates with these via adapters; Zapier Agents is a low-governance alternative AOA replaces.</w:t>
            </w:r>
          </w:p>
        </w:tc>
      </w:tr>
      <w:tr>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Developer Frameworks</w:t>
            </w:r>
          </w:p>
        </w:tc>
        <w:tc>
          <w:tcPr>
            <w:tcW w:type="dxa" w:w="3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LangFlow (low-code visual), Atomic Agents, Shakudo</w:t>
            </w:r>
          </w:p>
        </w:tc>
        <w:tc>
          <w:tcPr>
            <w:tcW w:type="dxa" w:w="39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Entry-level; no enterprise governance; adoption path leads to AOA-class platforms at scale.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1FAE5" w:val="clear"/>
            <w:tcMar>
              <w:top w:type="dxa" w:w="160"/>
              <w:left w:type="dxa" w:w="200"/>
              <w:bottom w:type="dxa" w:w="160"/>
              <w:right w:type="dxa" w:w="200"/>
            </w:tcMar>
          </w:tcPr>
          <w:p>
            <w:pPr>
              <w:spacing w:before="0" w:after="80"/>
            </w:pPr>
            <w:r>
              <w:rPr>
                <w:rFonts w:ascii="Arial" w:cs="Arial" w:eastAsia="Arial" w:hAnsi="Arial"/>
                <w:b/>
                <w:bCs/>
                <w:color w:val="1B3A6B"/>
                <w:sz w:val="24"/>
                <w:szCs w:val="24"/>
              </w:rPr>
              <w:t xml:space="preserve">The AOA Differentiation</w:t>
            </w:r>
          </w:p>
          <w:p>
            <w:pPr>
              <w:spacing w:before="0" w:after="0"/>
            </w:pPr>
            <w:r>
              <w:rPr>
                <w:rFonts w:ascii="Arial" w:cs="Arial" w:eastAsia="Arial" w:hAnsi="Arial"/>
                <w:i/>
                <w:iCs/>
                <w:sz w:val="22"/>
                <w:szCs w:val="22"/>
              </w:rPr>
              <w:t xml:space="preserve">Every direct competitor is either framework-only, cloud-vendor-locked, domain-specific, or lacks the full control plane. No platform combines: (1) vendor-neutral agent registry, (2) NHI-grade identity governance, (3) semantic context layer integration, (4) fabric abstraction, (5) independent ground-truth evaluation, and (6) full OWASP + EU AI Act compliance architecture. That is the AOA position.</w:t>
            </w:r>
          </w:p>
        </w:tc>
      </w:tr>
    </w:tbl>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7. Updated AOA Functional Domains</w:t>
      </w:r>
    </w:p>
    <w:p>
      <w:pPr>
        <w:spacing w:before="60" w:after="100"/>
      </w:pPr>
      <w:r>
        <w:rPr>
          <w:rFonts w:ascii="Arial" w:cs="Arial" w:eastAsia="Arial" w:hAnsi="Arial"/>
          <w:sz w:val="22"/>
          <w:szCs w:val="22"/>
        </w:rPr>
        <w:t xml:space="preserve">The original 10 functional domains remain valid. Three additions are required based on February 2026 market reality: MCP Governance, AI-SBOM, and Regulatory Compliance Evidence.</w:t>
      </w:r>
    </w:p>
    <w:p>
      <w:pPr>
        <w:spacing w:before="80" w:after="80"/>
      </w:pPr>
      <w:r>
        <w:t xml:space="preserve"/>
      </w:r>
    </w:p>
    <w:p>
      <w:pPr>
        <w:pStyle w:val="Heading2"/>
        <w:pBdr>
          <w:bottom w:val="single" w:color="2563A8" w:sz="4" w:space="4"/>
        </w:pBdr>
        <w:spacing w:before="320" w:after="120"/>
      </w:pPr>
      <w:r>
        <w:rPr>
          <w:rFonts w:ascii="Arial" w:cs="Arial" w:eastAsia="Arial" w:hAnsi="Arial"/>
          <w:b/>
          <w:bCs/>
          <w:color w:val="2563A8"/>
          <w:sz w:val="28"/>
          <w:szCs w:val="28"/>
        </w:rPr>
        <w:t xml:space="preserve">7.1 – 7.10: Original Domains (Validated)</w:t>
      </w:r>
    </w:p>
    <w:p>
      <w:pPr>
        <w:spacing w:before="60" w:after="100"/>
      </w:pPr>
      <w:r>
        <w:rPr>
          <w:rFonts w:ascii="Arial" w:cs="Arial" w:eastAsia="Arial" w:hAnsi="Arial"/>
          <w:sz w:val="22"/>
          <w:szCs w:val="22"/>
        </w:rPr>
        <w:t xml:space="preserve">Agent Registry, Identity &amp; Trust, Capability Contracts, Policy &amp; Governance, HITL &amp; Approval, Coordination, Runtime, Observability, Lifecycle, Economics — all structurally correct per prior blueprint. No domain changes required.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80"/>
            </w:pPr>
            <w:r>
              <w:rPr>
                <w:rFonts w:ascii="Arial" w:cs="Arial" w:eastAsia="Arial" w:hAnsi="Arial"/>
                <w:b/>
                <w:bCs/>
                <w:color w:val="1B3A6B"/>
                <w:sz w:val="24"/>
                <w:szCs w:val="24"/>
              </w:rPr>
              <w:t xml:space="preserve">Key Updates Within Existing Domains</w:t>
            </w:r>
          </w:p>
          <w:p>
            <w:pPr>
              <w:spacing w:before="0" w:after="0"/>
            </w:pPr>
            <w:r>
              <w:rPr>
                <w:rFonts w:ascii="Arial" w:cs="Arial" w:eastAsia="Arial" w:hAnsi="Arial"/>
                <w:i/>
                <w:iCs/>
                <w:sz w:val="22"/>
                <w:szCs w:val="22"/>
              </w:rPr>
              <w:t xml:space="preserve">Identity &amp; Trust now explicitly covers NHI governance (82:1 ratio problem). Policy now explicitly maps to OWASP Agentic Top 10. Observability now includes AI-SBOM artifact generation. Economics now includes EU AI Act conformity assessment cost tracking.</w:t>
            </w:r>
          </w:p>
        </w:tc>
      </w:tr>
    </w:tbl>
    <w:p>
      <w:pPr>
        <w:spacing w:before="80" w:after="80"/>
      </w:pPr>
      <w:r>
        <w:t xml:space="preserve"/>
      </w:r>
    </w:p>
    <w:p>
      <w:pPr>
        <w:pStyle w:val="Heading2"/>
        <w:pBdr>
          <w:bottom w:val="single" w:color="2563A8" w:sz="4" w:space="4"/>
        </w:pBdr>
        <w:spacing w:before="320" w:after="120"/>
      </w:pPr>
      <w:r>
        <w:rPr>
          <w:rFonts w:ascii="Arial" w:cs="Arial" w:eastAsia="Arial" w:hAnsi="Arial"/>
          <w:b/>
          <w:bCs/>
          <w:color w:val="2563A8"/>
          <w:sz w:val="28"/>
          <w:szCs w:val="28"/>
        </w:rPr>
        <w:t xml:space="preserve">7.11 MCP Governance (NEW — Required Feb 2026)</w:t>
      </w:r>
    </w:p>
    <w:p>
      <w:pPr>
        <w:spacing w:before="60" w:after="100"/>
      </w:pPr>
      <w:r>
        <w:rPr>
          <w:rFonts w:ascii="Arial" w:cs="Arial" w:eastAsia="Arial" w:hAnsi="Arial"/>
          <w:sz w:val="22"/>
          <w:szCs w:val="22"/>
        </w:rPr>
        <w:t xml:space="preserve">With MCP at 97 million monthly SDK downloads and the OWASP Top 10 (ASI03) calling out MCP server abuse as a top risk, AOA must treat MCP governance as a first-class capability — not an implementation detail.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36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AOA Responsibility</w:t>
            </w:r>
          </w:p>
        </w:tc>
        <w:tc>
          <w:tcPr>
            <w:tcW w:type="dxa" w:w="28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Driver</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server allowlist per agent</w:t>
            </w:r>
          </w:p>
        </w:tc>
        <w:tc>
          <w:tcPr>
            <w:tcW w:type="dxa" w:w="3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Each agent's approved MCP server list is part of its capability contract; any deviation is a policy violation</w:t>
            </w:r>
          </w:p>
        </w:tc>
        <w:tc>
          <w:tcPr>
            <w:tcW w:type="dxa" w:w="2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ASI03; Pomerium MCP access control pattern</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tool-call audit</w:t>
            </w:r>
          </w:p>
        </w:tc>
        <w:tc>
          <w:tcPr>
            <w:tcW w:type="dxa" w:w="36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Every MCP tool invocation is traced: agent identity, server, tool, parameters, outcome, timestamp</w:t>
            </w:r>
          </w:p>
        </w:tc>
        <w:tc>
          <w:tcPr>
            <w:tcW w:type="dxa" w:w="28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ASI09; EU AI Act Art. 50 (transparency)</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server integrity verification</w:t>
            </w:r>
          </w:p>
        </w:tc>
        <w:tc>
          <w:tcPr>
            <w:tcW w:type="dxa" w:w="3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Allowlisted MCP servers verified at registration and monitored for impersonation attempts</w:t>
            </w:r>
          </w:p>
        </w:tc>
        <w:tc>
          <w:tcPr>
            <w:tcW w:type="dxa" w:w="2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ASI05 (supply chain); OWASP ASI03</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scope minimization</w:t>
            </w:r>
          </w:p>
        </w:tc>
        <w:tc>
          <w:tcPr>
            <w:tcW w:type="dxa" w:w="36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Agents request minimum MCP scopes required for declared capability; over-scoping triggers HITL or block</w:t>
            </w:r>
          </w:p>
        </w:tc>
        <w:tc>
          <w:tcPr>
            <w:tcW w:type="dxa" w:w="28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ASI02 (excessive agency); NHI governance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Rogue MCP server detection</w:t>
            </w:r>
          </w:p>
        </w:tc>
        <w:tc>
          <w:tcPr>
            <w:tcW w:type="dxa" w:w="36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Anomaly detection on MCP connections outside declared allowlist; quarantine trigger</w:t>
            </w:r>
          </w:p>
        </w:tc>
        <w:tc>
          <w:tcPr>
            <w:tcW w:type="dxa" w:w="28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ASI10 (rogue agents); Cisco MCP Scanner pattern</w:t>
            </w:r>
          </w:p>
        </w:tc>
      </w:tr>
    </w:tbl>
    <w:p>
      <w:pPr>
        <w:spacing w:before="80" w:after="80"/>
      </w:pPr>
      <w:r>
        <w:t xml:space="preserve"/>
      </w:r>
    </w:p>
    <w:p>
      <w:pPr>
        <w:pStyle w:val="Heading2"/>
        <w:pBdr>
          <w:bottom w:val="single" w:color="2563A8" w:sz="4" w:space="4"/>
        </w:pBdr>
        <w:spacing w:before="320" w:after="120"/>
      </w:pPr>
      <w:r>
        <w:rPr>
          <w:rFonts w:ascii="Arial" w:cs="Arial" w:eastAsia="Arial" w:hAnsi="Arial"/>
          <w:b/>
          <w:bCs/>
          <w:color w:val="2563A8"/>
          <w:sz w:val="28"/>
          <w:szCs w:val="28"/>
        </w:rPr>
        <w:t xml:space="preserve">7.12 A2A Protocol Governance (NEW — Required Feb 2026)</w:t>
      </w:r>
    </w:p>
    <w:p>
      <w:pPr>
        <w:spacing w:before="60" w:after="100"/>
      </w:pPr>
      <w:r>
        <w:rPr>
          <w:rFonts w:ascii="Arial" w:cs="Arial" w:eastAsia="Arial" w:hAnsi="Arial"/>
          <w:sz w:val="22"/>
          <w:szCs w:val="22"/>
        </w:rPr>
        <w:t xml:space="preserve">A2A is now a Linux Foundation open standard with 150+ enterprise partners. AOA must implement A2A as the cross-vendor agent communication standard for external agent coordination.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34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AOA Responsibility</w:t>
            </w:r>
          </w:p>
        </w:tc>
        <w:tc>
          <w:tcPr>
            <w:tcW w:type="dxa" w:w="308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Card issuance</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issues and maintains A2A Agent Cards for all registered agents</w:t>
            </w:r>
          </w:p>
        </w:tc>
        <w:tc>
          <w:tcPr>
            <w:tcW w:type="dxa" w:w="30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JSON-format capability declarations for external discovery</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Card validation</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Inbound A2A calls validated against source agent's published card</w:t>
            </w:r>
          </w:p>
        </w:tc>
        <w:tc>
          <w:tcPr>
            <w:tcW w:type="dxa" w:w="30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Prevents agent card spoofing (OWASP ASI04)</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Cross-org trust tiering</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External agents assigned trust tier via A2A; treated as third-party/unverified by default</w:t>
            </w:r>
          </w:p>
        </w:tc>
        <w:tc>
          <w:tcPr>
            <w:tcW w:type="dxa" w:w="30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Trust negotiation before any cross-domain task delegation</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Long-running task state</w:t>
            </w:r>
          </w:p>
        </w:tc>
        <w:tc>
          <w:tcPr>
            <w:tcW w:type="dxa" w:w="34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A2A task lifecycle managed by AOA with state persistence and SSE/webhook updates</w:t>
            </w:r>
          </w:p>
        </w:tc>
        <w:tc>
          <w:tcPr>
            <w:tcW w:type="dxa" w:w="308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A2A spec requirement; needed for enterprise workflows spanning hours/days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A2A economic tracking</w:t>
            </w:r>
          </w:p>
        </w:tc>
        <w:tc>
          <w:tcPr>
            <w:tcW w:type="dxa" w:w="34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Cost attribution for cross-org agent interactions; prevents unbounded spend on external agent calls</w:t>
            </w:r>
          </w:p>
        </w:tc>
        <w:tc>
          <w:tcPr>
            <w:tcW w:type="dxa" w:w="308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Budget enforcement (existing RACI); extended to A2A scope</w:t>
            </w:r>
          </w:p>
        </w:tc>
      </w:tr>
    </w:tbl>
    <w:p>
      <w:pPr>
        <w:spacing w:before="80" w:after="80"/>
      </w:pPr>
      <w:r>
        <w:t xml:space="preserve"/>
      </w:r>
    </w:p>
    <w:p>
      <w:pPr>
        <w:pStyle w:val="Heading2"/>
        <w:pBdr>
          <w:bottom w:val="single" w:color="2563A8" w:sz="4" w:space="4"/>
        </w:pBdr>
        <w:spacing w:before="320" w:after="120"/>
      </w:pPr>
      <w:r>
        <w:rPr>
          <w:rFonts w:ascii="Arial" w:cs="Arial" w:eastAsia="Arial" w:hAnsi="Arial"/>
          <w:b/>
          <w:bCs/>
          <w:color w:val="2563A8"/>
          <w:sz w:val="28"/>
          <w:szCs w:val="28"/>
        </w:rPr>
        <w:t xml:space="preserve">7.13 AI Software Bill of Materials (AI-SBOM) (NEW — Required 2026)</w:t>
      </w:r>
    </w:p>
    <w:p>
      <w:pPr>
        <w:spacing w:before="60" w:after="100"/>
      </w:pPr>
      <w:r>
        <w:rPr>
          <w:rFonts w:ascii="Arial" w:cs="Arial" w:eastAsia="Arial" w:hAnsi="Arial"/>
          <w:sz w:val="22"/>
          <w:szCs w:val="22"/>
        </w:rPr>
        <w:t xml:space="preserve">EU AI Act (August 2026 deadline) and NIST AI RMF both require documented provenance for AI systems. OWASP Agentic Top 10 (ASI05) identifies supply chain compromise as a top risk. AI-SBOM is the mitigation.</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Per-agent AI-SBOM: model version, capability contract version, MCP server list + versions, tool dependencies, training data provenance (where applicable)</w:t>
      </w:r>
    </w:p>
    <w:p>
      <w:pPr>
        <w:pStyle w:val="ListParagraph"/>
        <w:numPr>
          <w:ilvl w:val="0"/>
          <w:numId w:val="2"/>
        </w:numPr>
        <w:spacing w:before="40" w:after="40"/>
      </w:pPr>
      <w:r>
        <w:rPr>
          <w:rFonts w:ascii="Arial" w:cs="Arial" w:eastAsia="Arial" w:hAnsi="Arial"/>
          <w:sz w:val="22"/>
          <w:szCs w:val="22"/>
        </w:rPr>
        <w:t xml:space="preserve">SBOM generation on agent registration; updated on any capability contract change</w:t>
      </w:r>
    </w:p>
    <w:p>
      <w:pPr>
        <w:pStyle w:val="ListParagraph"/>
        <w:numPr>
          <w:ilvl w:val="0"/>
          <w:numId w:val="2"/>
        </w:numPr>
        <w:spacing w:before="40" w:after="40"/>
      </w:pPr>
      <w:r>
        <w:rPr>
          <w:rFonts w:ascii="Arial" w:cs="Arial" w:eastAsia="Arial" w:hAnsi="Arial"/>
          <w:sz w:val="22"/>
          <w:szCs w:val="22"/>
        </w:rPr>
        <w:t xml:space="preserve">SBOM exposed via API for integration with enterprise GRC (Governance, Risk, Compliance) platforms</w:t>
      </w:r>
    </w:p>
    <w:p>
      <w:pPr>
        <w:pStyle w:val="ListParagraph"/>
        <w:numPr>
          <w:ilvl w:val="0"/>
          <w:numId w:val="2"/>
        </w:numPr>
        <w:spacing w:before="40" w:after="40"/>
      </w:pPr>
      <w:r>
        <w:rPr>
          <w:rFonts w:ascii="Arial" w:cs="Arial" w:eastAsia="Arial" w:hAnsi="Arial"/>
          <w:sz w:val="22"/>
          <w:szCs w:val="22"/>
        </w:rPr>
        <w:t xml:space="preserve">SBOM integrity verification at deployment — any tampered dependency triggers quarantine</w:t>
      </w:r>
    </w:p>
    <w:p>
      <w:pPr>
        <w:pStyle w:val="ListParagraph"/>
        <w:numPr>
          <w:ilvl w:val="0"/>
          <w:numId w:val="2"/>
        </w:numPr>
        <w:spacing w:before="40" w:after="40"/>
      </w:pPr>
      <w:r>
        <w:rPr>
          <w:rFonts w:ascii="Arial" w:cs="Arial" w:eastAsia="Arial" w:hAnsi="Arial"/>
          <w:sz w:val="22"/>
          <w:szCs w:val="22"/>
        </w:rPr>
        <w:t xml:space="preserve">FARM integration: SBOM provides the ground-truth baseline against which behavioral drift is measured</w:t>
      </w:r>
    </w:p>
    <w:p>
      <w:pPr>
        <w:spacing w:before="80" w:after="80"/>
      </w:pPr>
      <w:r>
        <w:t xml:space="preserve"/>
      </w:r>
    </w:p>
    <w:p>
      <w:pPr>
        <w:pStyle w:val="Heading2"/>
        <w:pBdr>
          <w:bottom w:val="single" w:color="2563A8" w:sz="4" w:space="4"/>
        </w:pBdr>
        <w:spacing w:before="320" w:after="120"/>
      </w:pPr>
      <w:r>
        <w:rPr>
          <w:rFonts w:ascii="Arial" w:cs="Arial" w:eastAsia="Arial" w:hAnsi="Arial"/>
          <w:b/>
          <w:bCs/>
          <w:color w:val="2563A8"/>
          <w:sz w:val="28"/>
          <w:szCs w:val="28"/>
        </w:rPr>
        <w:t xml:space="preserve">7.14 Regulatory Compliance Evidence Layer (NEW — Required Aug 2026)</w:t>
      </w:r>
    </w:p>
    <w:p>
      <w:pPr>
        <w:spacing w:before="60" w:after="100"/>
      </w:pPr>
      <w:r>
        <w:rPr>
          <w:rFonts w:ascii="Arial" w:cs="Arial" w:eastAsia="Arial" w:hAnsi="Arial"/>
          <w:sz w:val="22"/>
          <w:szCs w:val="22"/>
        </w:rPr>
        <w:t xml:space="preserve">EU AI Act conformity assessment requires documented evidence. AOA's audit trail and lifecycle management produce this evidence as a byproduct of normal operation. This capability makes compliance an operational output, not a separate project.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Type</w:t>
            </w:r>
          </w:p>
        </w:tc>
        <w:tc>
          <w:tcPr>
            <w:tcW w:type="dxa" w:w="3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AOA Source</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Satisfies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registry with risk classification</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registry + capability contracts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AI system inventory requirement; EU AI Act Art. 16</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Human oversight documentation</w:t>
            </w:r>
          </w:p>
        </w:tc>
        <w:tc>
          <w:tcPr>
            <w:tcW w:type="dxa" w:w="3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HITL logs + override tracking</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human oversight requirements for high-risk systems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Data access audit trail</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Execution trace + DCL pointer log</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Art. 13 (transparency); GDPR Art. 30 (records of processing)</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Incident reporting artifacts</w:t>
            </w:r>
          </w:p>
        </w:tc>
        <w:tc>
          <w:tcPr>
            <w:tcW w:type="dxa" w:w="3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quarantine events + zombie detection logs</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post-market monitoring and incident reporting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Technical documentation</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AI-SBOM + capability contracts + policy manifests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Art. 11 (technical documentation)</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Accuracy and robustness records</w:t>
            </w:r>
          </w:p>
        </w:tc>
        <w:tc>
          <w:tcPr>
            <w:tcW w:type="dxa" w:w="3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FARM evaluation outputs linked to AOA runs</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Art. 15 (accuracy, robustness, cybersecurity)</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Conformity assessment evidence package</w:t>
            </w:r>
          </w:p>
        </w:tc>
        <w:tc>
          <w:tcPr>
            <w:tcW w:type="dxa" w:w="3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Compiled from above; exportable on demand</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conformity assessment procedure</w:t>
            </w:r>
          </w:p>
        </w:tc>
      </w:tr>
    </w:tbl>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8. Updated RACI: New Capabilities Added</w:t>
      </w:r>
    </w:p>
    <w:p>
      <w:pPr>
        <w:spacing w:before="60" w:after="100"/>
      </w:pPr>
      <w:r>
        <w:rPr>
          <w:rFonts w:ascii="Arial" w:cs="Arial" w:eastAsia="Arial" w:hAnsi="Arial"/>
          <w:sz w:val="22"/>
          <w:szCs w:val="22"/>
        </w:rPr>
        <w:t xml:space="preserve">The following table adds the new AOA capabilities from Sections 7.11–7.14 to the master RACI. The base RACI from AOS_MASTER_RACIv5.xlsx remains unchanged; this is additive only.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700"/>
        <w:gridCol w:w="700"/>
        <w:gridCol w:w="700"/>
        <w:gridCol w:w="700"/>
        <w:gridCol w:w="700"/>
        <w:gridCol w:w="1460"/>
      </w:tblGrid>
      <w:tr>
        <w:tc>
          <w:tcPr>
            <w:tcW w:type="dxa" w:w="2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7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AOD</w:t>
            </w:r>
          </w:p>
        </w:tc>
        <w:tc>
          <w:tcPr>
            <w:tcW w:type="dxa" w:w="7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AAM</w:t>
            </w:r>
          </w:p>
        </w:tc>
        <w:tc>
          <w:tcPr>
            <w:tcW w:type="dxa" w:w="7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DCL</w:t>
            </w:r>
          </w:p>
        </w:tc>
        <w:tc>
          <w:tcPr>
            <w:tcW w:type="dxa" w:w="7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AOA</w:t>
            </w:r>
          </w:p>
        </w:tc>
        <w:tc>
          <w:tcPr>
            <w:tcW w:type="dxa" w:w="7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FARM</w:t>
            </w:r>
          </w:p>
        </w:tc>
        <w:tc>
          <w:tcPr>
            <w:tcW w:type="dxa" w:w="14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MCP Governance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MCP server allowlist per agent</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Part of capability contract</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MCP Governance</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MCP tool-call audit</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ASI09</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MCP Governance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MCP server integrity verification</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ASI05</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MCP Governance</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MCP scope minimization enforcement</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ASI02</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MCP Governance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Rogue MCP server detection</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ASI10</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A2A Protocol</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Agent Card issuance</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JSON capability declaration</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A2A Protocol</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Agent Card validation (inbound)</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ASI04</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A2A Protocol</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Cross-org trust tier assignment</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3rd-party default</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A2A Protocol</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Long-running task state (A2A)</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Hours/days workflows</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A2A Protocol</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A2A economic tracking</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Cross-org spend control</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AI-SBOM</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Per-agent AI-SBOM generation</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Art. 11</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AI-SBOM</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SBOM integrity verification at deploy</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ASI05</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AI-SBOM</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SBOM API for GRC integration</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Compliance export</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AI-SBOM</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SBOM drift detection (dependency change)</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Triggers capability review</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Regulatory Evidence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Conformity assessment evidence package</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Art. 43</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Regulatory Evidence</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AI inventory + risk classification export</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Art. 16</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Regulatory Evidence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Incident reporting artifact generation</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post-market</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Regulatory Evidence</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Technical documentation compilation</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Art. 11</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NHI Governance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NHI permission expiry enforcement</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27.8% ungoverned avg</w:t>
            </w:r>
          </w:p>
        </w:tc>
      </w:tr>
      <w:tr>
        <w:tc>
          <w:tcPr>
            <w:tcW w:type="dxa" w:w="2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NHI Governance</w:t>
            </w:r>
          </w:p>
        </w:tc>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Over-permissioned agent detection</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14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ASI02; 82:1 NHI ratio</w:t>
            </w:r>
          </w:p>
        </w:tc>
      </w:tr>
      <w:tr>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NHI Governance</w:t>
            </w:r>
          </w:p>
        </w:tc>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F2937"/>
                <w:sz w:val="20"/>
                <w:szCs w:val="20"/>
              </w:rPr>
              <w:t xml:space="preserve">Secretless auth integration (OAuth/OIDC/SPIFFE)</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92400E"/>
                <w:sz w:val="20"/>
                <w:szCs w:val="20"/>
              </w:rPr>
              <w:t xml:space="preserve">C</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B3A6B"/>
                <w:sz w:val="20"/>
                <w:szCs w:val="20"/>
              </w:rPr>
              <w:t xml:space="preserve">A/R</w:t>
            </w:r>
          </w:p>
        </w:tc>
        <w:tc>
          <w:tcPr>
            <w:tcW w:type="dxa" w:w="7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w:t>
            </w:r>
          </w:p>
        </w:tc>
        <w:tc>
          <w:tcPr>
            <w:tcW w:type="dxa" w:w="14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Aembit pattern; zero stored credentials</w:t>
            </w:r>
          </w:p>
        </w:tc>
      </w:tr>
    </w:tbl>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9. Updated Market Parity Assessment (Feb 2026)</w:t>
      </w:r>
    </w:p>
    <w:p>
      <w:pPr>
        <w:spacing w:before="60" w:after="100"/>
      </w:pPr>
      <w:r>
        <w:rPr>
          <w:rFonts w:ascii="Arial" w:cs="Arial" w:eastAsia="Arial" w:hAnsi="Arial"/>
          <w:sz w:val="22"/>
          <w:szCs w:val="22"/>
        </w:rPr>
        <w:t xml:space="preserve">Original parity assessment updated with new capabilities and revised competitive context based on current market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800"/>
        <w:gridCol w:w="316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 Area</w:t>
            </w:r>
          </w:p>
        </w:tc>
        <w:tc>
          <w:tcPr>
            <w:tcW w:type="dxa" w:w="10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AOA Coverage</w:t>
            </w:r>
          </w:p>
        </w:tc>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Closest Market Equivalent</w:t>
            </w:r>
          </w:p>
        </w:tc>
        <w:tc>
          <w:tcPr>
            <w:tcW w:type="dxa" w:w="3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AOA Advantage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Governance</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Full</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Pomerium (point solution)</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governs MCP as part of agent policy — not a separate product</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A2A Protocol Support</w:t>
            </w:r>
          </w:p>
        </w:tc>
        <w:tc>
          <w:tcPr>
            <w:tcW w:type="dxa" w:w="1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Full</w:t>
            </w:r>
          </w:p>
        </w:tc>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Google A2A (infrastructure only)</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adds policy enforcement and economic controls on top of A2A transport</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NHI Governance (82:1 ratio)</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Full</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Veza, Oasis, Aembit (standalone products)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integrates NHI lifecycle into agent orchestration — no separate NHI product required</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AI-SBOM Generation</w:t>
            </w:r>
          </w:p>
        </w:tc>
        <w:tc>
          <w:tcPr>
            <w:tcW w:type="dxa" w:w="1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Full</w:t>
            </w:r>
          </w:p>
        </w:tc>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No platform has this natively</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First-class SBOM as byproduct of agent registration — competitive differentiator</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Agentic Top 10 Coverage</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All 10 risks</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Partial coverage across multiple tools</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Full coverage in single control plane</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Compliance Evidence</w:t>
            </w:r>
          </w:p>
        </w:tc>
        <w:tc>
          <w:tcPr>
            <w:tcW w:type="dxa" w:w="1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Full</w:t>
            </w:r>
          </w:p>
        </w:tc>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ModelOp (governance only, no execution)</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produces compliance evidence as operational output, not a separate audit process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Execution &amp; Routing</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Full</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Temporal, AWS Step Functions, Ray</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Integrated with semantic context and policy layer</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Multi-Agent Coordination</w:t>
            </w:r>
          </w:p>
        </w:tc>
        <w:tc>
          <w:tcPr>
            <w:tcW w:type="dxa" w:w="1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Full</w:t>
            </w:r>
          </w:p>
        </w:tc>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CrewAI, AutoGen, LangGraph</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Vendor-neutral; cross-framework; includes A2A for external agents</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Lifecycle (incl. Zombie Detection)</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Full</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ServiceNow AI Control Tower (ITSM only)</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Domain-agnostic lifecycle across all AOS modules</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Ground-Truth Evaluation (FARM)</w:t>
            </w:r>
          </w:p>
        </w:tc>
        <w:tc>
          <w:tcPr>
            <w:tcW w:type="dxa" w:w="1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Unique</w:t>
            </w:r>
          </w:p>
        </w:tc>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No equivalent in any competitor</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Independent oracle is architecturally unique — not a feature, a module</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Semantic Context Layer (DCL)</w:t>
            </w:r>
          </w:p>
        </w:tc>
        <w:tc>
          <w:tcPr>
            <w:tcW w:type="dxa" w:w="1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Unique</w:t>
            </w:r>
          </w:p>
        </w:tc>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No equivalent in any competitor</w:t>
            </w:r>
          </w:p>
        </w:tc>
        <w:tc>
          <w:tcPr>
            <w:tcW w:type="dxa" w:w="3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Zero-payload pointer-based context provision — architecturally unique</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Fabric Abstraction (AAM)</w:t>
            </w:r>
          </w:p>
        </w:tc>
        <w:tc>
          <w:tcPr>
            <w:tcW w:type="dxa" w:w="10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 Unique</w:t>
            </w:r>
          </w:p>
        </w:tc>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iPaaS tools are point solutions</w:t>
            </w:r>
          </w:p>
        </w:tc>
        <w:tc>
          <w:tcPr>
            <w:tcW w:type="dxa" w:w="3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Multi-plane fabric abstraction under single policy governance is unique</w:t>
            </w:r>
          </w:p>
        </w:tc>
      </w:tr>
    </w:tbl>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10. Updated Phased Delivery Roadmap</w:t>
      </w:r>
    </w:p>
    <w:p>
      <w:pPr>
        <w:spacing w:before="60" w:after="100"/>
      </w:pPr>
      <w:r>
        <w:rPr>
          <w:rFonts w:ascii="Arial" w:cs="Arial" w:eastAsia="Arial" w:hAnsi="Arial"/>
          <w:sz w:val="22"/>
          <w:szCs w:val="22"/>
        </w:rPr>
        <w:t xml:space="preserve">Original phases preserved. New capabilities from Sections 7.11–7.14 are inserted at the appropriate phase.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25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0 — Executable Now</w:t>
            </w:r>
          </w:p>
        </w:tc>
        <w:tc>
          <w:tcPr>
            <w:tcW w:type="dxa" w:w="25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1 — Near Term</w:t>
            </w:r>
          </w:p>
        </w:tc>
        <w:tc>
          <w:tcPr>
            <w:tcW w:type="dxa" w:w="252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 — Strategic</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Registry &amp; Identity</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registration, metadata, trust tier, health monitoring</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Version management, NHI permission expiry, secretless auth integration</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Zombie detection automation, AI-SBOM drift alerting</w:t>
            </w:r>
          </w:p>
        </w:tc>
      </w:tr>
      <w:tr>
        <w:tc>
          <w:tcPr>
            <w:tcW w:type="dxa" w:w="1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Governance</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server allowlist per agent, basic tool-call audit</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Scope minimization enforcement, rogue MCP server detection</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behavioral anomaly ML, predictive scope recommendation</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A2A Protocol</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Card issuance + inbound validation, cross-org trust default</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Long-running task state, A2A economic tracking</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Cross-org trust federation, A2A marketplace integration</w:t>
            </w:r>
          </w:p>
        </w:tc>
      </w:tr>
      <w:tr>
        <w:tc>
          <w:tcPr>
            <w:tcW w:type="dxa" w:w="1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Policy &amp; OWASP</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Autonomy bounds, injection defense, PII redaction, HITL</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OWASP ASI01–ASI06 formal mapping, confidence-based HITL</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Adaptive policy learning, regulatory auto-update from EU AI Office</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AI-SBOM</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Per-agent SBOM generation at registration</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SBOM API for GRC integration, integrity verification at deploy</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Real-time SBOM drift detection, automated remediation triggers</w:t>
            </w:r>
          </w:p>
        </w:tc>
      </w:tr>
      <w:tr>
        <w:tc>
          <w:tcPr>
            <w:tcW w:type="dxa" w:w="1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Regulatory Evidence</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Audit trail + technical documentation compilation</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Conformity assessment package export, EU AI Act risk classification</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Auto-report generation for EU AI Act incident reporting</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Coordination</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Fabric action routing, transaction execution, A2A task delegation</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Fan-out/fan-in, arbitration, cross-vendor agent coordination</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Consensus voting, planner-executor patterns, cross-cloud</w:t>
            </w:r>
          </w:p>
        </w:tc>
      </w:tr>
      <w:tr>
        <w:tc>
          <w:tcPr>
            <w:tcW w:type="dxa" w:w="1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Observability</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Execution trace, audit log, cost tracking</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Deterministic replay, performance metrics, OWASP ASI09 alignment</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Cost-per-outcome linking, behavioral drift benchmarks vs SBOM</w:t>
            </w:r>
          </w:p>
        </w:tc>
      </w:tr>
      <w:tr>
        <w:tc>
          <w:tcPr>
            <w:tcW w:type="dxa" w:w="1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Economics</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Cost attribution per agent, basic budget enforcement</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Budget enforcement with A2A cross-org scope, priority scheduling</w:t>
            </w:r>
          </w:p>
        </w:tc>
        <w:tc>
          <w:tcPr>
            <w:tcW w:type="dxa" w:w="252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ROI tracking per agent outcome, automated agent cost-benefit analysis</w:t>
            </w:r>
          </w:p>
        </w:tc>
      </w:tr>
      <w:tr>
        <w:tc>
          <w:tcPr>
            <w:tcW w:type="dxa" w:w="1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NHI Security</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identity issuance, basic over-permissioning detection</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Automated permission expiry, 82:1 scale governance</w:t>
            </w:r>
          </w:p>
        </w:tc>
        <w:tc>
          <w:tcPr>
            <w:tcW w:type="dxa" w:w="252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NHI anomaly detection, predictive access scoping</w:t>
            </w:r>
          </w:p>
        </w:tc>
      </w:tr>
    </w:tbl>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11. Open Architecture Items (Updated)</w:t>
      </w:r>
    </w:p>
    <w:p>
      <w:pPr>
        <w:spacing w:before="60" w:after="100"/>
      </w:pPr>
      <w:r>
        <w:rPr>
          <w:rFonts w:ascii="Arial" w:cs="Arial" w:eastAsia="Arial" w:hAnsi="Arial"/>
          <w:sz w:val="22"/>
          <w:szCs w:val="22"/>
        </w:rPr>
        <w:t xml:space="preserve">Original 5 items preserved. 4 new items added based on February 2026 market reality.</w:t>
      </w:r>
    </w:p>
    <w:p>
      <w:pPr>
        <w:spacing w:before="80" w:after="80"/>
      </w:pPr>
      <w:r>
        <w:t xml:space="preserve"/>
      </w:r>
    </w:p>
    <w:p>
      <w:pPr>
        <w:pStyle w:val="Heading2"/>
        <w:pBdr>
          <w:bottom w:val="single" w:color="2563A8" w:sz="4" w:space="4"/>
        </w:pBdr>
        <w:spacing w:before="320" w:after="120"/>
      </w:pPr>
      <w:r>
        <w:rPr>
          <w:rFonts w:ascii="Arial" w:cs="Arial" w:eastAsia="Arial" w:hAnsi="Arial"/>
          <w:b/>
          <w:bCs/>
          <w:color w:val="2563A8"/>
          <w:sz w:val="28"/>
          <w:szCs w:val="28"/>
        </w:rPr>
        <w:t xml:space="preserve">Original Open Items (Still Unresolved)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65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 Required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Per-agent vs per-plan quota</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Budget ceilings set per agent, per agent type, or per tenant plan? Affects enforcement design.</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HITL confidence threshold ownership</w:t>
            </w:r>
          </w:p>
        </w:tc>
        <w:tc>
          <w:tcPr>
            <w:tcW w:type="dxa" w:w="65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Threshold a DCL-derived signal, AOA-configured policy, or both?</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A2A protocol version</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Google A2A spec is at v0.3 (July 2025). Now housed at Linux Foundation. Which version does AOS implement?</w:t>
            </w:r>
          </w:p>
        </w:tc>
      </w:tr>
      <w:tr>
        <w:tc>
          <w:tcPr>
            <w:tcW w:type="dxa" w:w="2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Zombie detection quorum</w:t>
            </w:r>
          </w:p>
        </w:tc>
        <w:tc>
          <w:tcPr>
            <w:tcW w:type="dxa" w:w="65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AOD signals, AAM health checks, DCL freshness — define the quorum rule for triggering zombie classification.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identity storage</w:t>
            </w:r>
          </w:p>
        </w:tc>
        <w:tc>
          <w:tcPr>
            <w:tcW w:type="dxa" w:w="6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issues identity, or delegates to enterprise IdP with AOA as enforcement point?</w:t>
            </w:r>
          </w:p>
        </w:tc>
      </w:tr>
    </w:tbl>
    <w:p>
      <w:pPr>
        <w:spacing w:before="80" w:after="80"/>
      </w:pPr>
      <w:r>
        <w:t xml:space="preserve"/>
      </w:r>
    </w:p>
    <w:p>
      <w:pPr>
        <w:pStyle w:val="Heading2"/>
        <w:pBdr>
          <w:bottom w:val="single" w:color="2563A8" w:sz="4" w:space="4"/>
        </w:pBdr>
        <w:spacing w:before="320" w:after="120"/>
      </w:pPr>
      <w:r>
        <w:rPr>
          <w:rFonts w:ascii="Arial" w:cs="Arial" w:eastAsia="Arial" w:hAnsi="Arial"/>
          <w:b/>
          <w:bCs/>
          <w:color w:val="2563A8"/>
          <w:sz w:val="28"/>
          <w:szCs w:val="28"/>
        </w:rPr>
        <w:t xml:space="preserve">New Open Items (Added Feb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Item</w:t>
            </w:r>
          </w:p>
        </w:tc>
        <w:tc>
          <w:tcPr>
            <w:tcW w:type="dxa" w:w="48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Decision Required</w:t>
            </w:r>
          </w:p>
        </w:tc>
        <w:tc>
          <w:tcPr>
            <w:tcW w:type="dxa" w:w="21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Urgency</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MCP server registration authority</w:t>
            </w:r>
          </w:p>
        </w:tc>
        <w:tc>
          <w:tcPr>
            <w:tcW w:type="dxa" w:w="4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Who can register an approved MCP server for an agent — the agent owner, AOA admin, or both? What's the approval workflow?</w:t>
            </w:r>
          </w:p>
        </w:tc>
        <w:tc>
          <w:tcPr>
            <w:tcW w:type="dxa" w:w="2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HIGH — affects Phase 0 design</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AI-SBOM format standard</w:t>
            </w:r>
          </w:p>
        </w:tc>
        <w:tc>
          <w:tcPr>
            <w:tcW w:type="dxa" w:w="4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SPDX, CycloneDX, or AOS-proprietary format? CycloneDX has emerging AI extensions. SPDX is broader but less AI-specific.</w:t>
            </w:r>
          </w:p>
        </w:tc>
        <w:tc>
          <w:tcPr>
            <w:tcW w:type="dxa" w:w="2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HIGH — affects GRC integration</w:t>
            </w:r>
          </w:p>
        </w:tc>
      </w:tr>
      <w:tr>
        <w:tc>
          <w:tcPr>
            <w:tcW w:type="dxa" w:w="24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EU AI Act risk classification ownership</w:t>
            </w:r>
          </w:p>
        </w:tc>
        <w:tc>
          <w:tcPr>
            <w:tcW w:type="dxa" w:w="4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Who classifies each agent deployment as minimal/limited/high risk under the EU AI Act? AOA admin? Legal? Automated?</w:t>
            </w:r>
          </w:p>
        </w:tc>
        <w:tc>
          <w:tcPr>
            <w:tcW w:type="dxa" w:w="21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CRITICAL — Aug 2026 deadline</w:t>
            </w:r>
          </w:p>
        </w:tc>
      </w:tr>
      <w:tr>
        <w:tc>
          <w:tcPr>
            <w:tcW w:type="dxa" w:w="24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Agentic AI Foundation governance</w:t>
            </w:r>
          </w:p>
        </w:tc>
        <w:tc>
          <w:tcPr>
            <w:tcW w:type="dxa" w:w="48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Both MCP and A2A are now under Linux Foundation Agentic AI Foundation. Does AOS join? Track only? This affects protocol update response time.</w:t>
            </w:r>
          </w:p>
        </w:tc>
        <w:tc>
          <w:tcPr>
            <w:tcW w:type="dxa" w:w="21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MEDIUM — strategic decision</w:t>
            </w:r>
          </w:p>
        </w:tc>
      </w:tr>
    </w:tbl>
    <w:p>
      <w:pPr>
        <w:spacing w:before="80" w:after="80"/>
      </w:pPr>
      <w:r>
        <w:t xml:space="preserve"/>
      </w:r>
    </w:p>
    <w:p>
      <w:r>
        <w:br w:type="page"/>
      </w:r>
    </w:p>
    <w:p>
      <w:pPr>
        <w:pStyle w:val="Heading1"/>
        <w:spacing w:before="480" w:after="160"/>
      </w:pPr>
      <w:r>
        <w:rPr>
          <w:rFonts w:ascii="Arial" w:cs="Arial" w:eastAsia="Arial" w:hAnsi="Arial"/>
          <w:b/>
          <w:bCs/>
          <w:color w:val="1B3A6B"/>
          <w:sz w:val="36"/>
          <w:szCs w:val="36"/>
        </w:rPr>
        <w:t xml:space="preserve">12. Updated AOA Control Flow (Feb 2026)</w:t>
      </w:r>
    </w:p>
    <w:p>
      <w:pPr>
        <w:spacing w:before="60" w:after="100"/>
      </w:pPr>
      <w:r>
        <w:rPr>
          <w:rFonts w:ascii="Arial" w:cs="Arial" w:eastAsia="Arial" w:hAnsi="Arial"/>
          <w:sz w:val="22"/>
          <w:szCs w:val="22"/>
        </w:rPr>
        <w:t xml:space="preserve">Original 9-step flow updated to reflect MCP governance, A2A external coordination, and regulatory evidence generation as first-class steps.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5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Actor</w:t>
            </w:r>
          </w:p>
        </w:tc>
        <w:tc>
          <w:tcPr>
            <w:tcW w:type="dxa" w:w="6660"/>
            <w:tcBorders>
              <w:top w:val="single" w:color="CBD5E1" w:sz="1"/>
              <w:left w:val="single" w:color="CBD5E1" w:sz="1"/>
              <w:bottom w:val="single" w:color="CBD5E1" w:sz="1"/>
              <w:right w:val="single" w:color="CBD5E1"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NLQ → AOA</w:t>
            </w:r>
          </w:p>
        </w:tc>
        <w:tc>
          <w:tcPr>
            <w:tcW w:type="dxa" w:w="6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Intent resolved by NLQ carries action flag. Routed to AOA with intent classification and confidence score.</w:t>
            </w:r>
          </w:p>
        </w:tc>
      </w:tr>
      <w:tr>
        <w:tc>
          <w:tcPr>
            <w:tcW w:type="dxa" w:w="5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2</w:t>
            </w:r>
          </w:p>
        </w:tc>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 DCL</w:t>
            </w:r>
          </w:p>
        </w:tc>
        <w:tc>
          <w:tcPr>
            <w:tcW w:type="dxa" w:w="66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Semantic context requested for domain, entities, data freshness, and policy-relevant metadata.</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Registry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Agent selection: domain match, trust tier, capability contract check, MCP allowlist loaded, cost estimate.</w:t>
            </w:r>
          </w:p>
        </w:tc>
      </w:tr>
      <w:tr>
        <w:tc>
          <w:tcPr>
            <w:tcW w:type="dxa" w:w="5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4</w:t>
            </w:r>
          </w:p>
        </w:tc>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OWASP Check</w:t>
            </w:r>
          </w:p>
        </w:tc>
        <w:tc>
          <w:tcPr>
            <w:tcW w:type="dxa" w:w="66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Pre-execution: injection defense scan, PII detection, scope minimization vs declared capability, AI-SBOM integrity check.</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Policy Engine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Policy evaluation: autonomy bounds, domain authorization, budget ceiling, HITL confidence threshold, EU AI Act risk class check.</w:t>
            </w:r>
          </w:p>
        </w:tc>
      </w:tr>
      <w:tr>
        <w:tc>
          <w:tcPr>
            <w:tcW w:type="dxa" w:w="5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5a (approved)</w:t>
            </w:r>
          </w:p>
        </w:tc>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 AAM</w:t>
            </w:r>
          </w:p>
        </w:tc>
        <w:tc>
          <w:tcPr>
            <w:tcW w:type="dxa" w:w="66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Approved: fabric action routing to AAM with scoped execution context and MCP tool permissions.</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5b (HITL)</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 HITL</w:t>
            </w:r>
          </w:p>
        </w:tc>
        <w:tc>
          <w:tcPr>
            <w:tcW w:type="dxa" w:w="6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HITL triggered: structured approval request generated with full context; execution suspended; timer started.</w:t>
            </w:r>
          </w:p>
        </w:tc>
      </w:tr>
      <w:tr>
        <w:tc>
          <w:tcPr>
            <w:tcW w:type="dxa" w:w="5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5c (A2A)</w:t>
            </w:r>
          </w:p>
        </w:tc>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 External Agent</w:t>
            </w:r>
          </w:p>
        </w:tc>
        <w:tc>
          <w:tcPr>
            <w:tcW w:type="dxa" w:w="66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Cross-vendor/cross-org task: A2A task created with agent card validation; trust tier enforced; economic tracking started.</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6</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AAM → Adapter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AAM instantiates appropriate adapter; executes transaction with idempotency key; reports back to AOA.</w:t>
            </w:r>
          </w:p>
        </w:tc>
      </w:tr>
      <w:tr>
        <w:tc>
          <w:tcPr>
            <w:tcW w:type="dxa" w:w="5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7</w:t>
            </w:r>
          </w:p>
        </w:tc>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Trace + SBOM</w:t>
            </w:r>
          </w:p>
        </w:tc>
        <w:tc>
          <w:tcPr>
            <w:tcW w:type="dxa" w:w="66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Execution trace captured; MCP tool calls logged; AI-SBOM referenced for provenance; regulatory evidence artifact updated.</w:t>
            </w:r>
          </w:p>
        </w:tc>
      </w:tr>
      <w:tr>
        <w:tc>
          <w:tcPr>
            <w:tcW w:type="dxa" w:w="5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8</w:t>
            </w:r>
          </w:p>
        </w:tc>
        <w:tc>
          <w:tcPr>
            <w:tcW w:type="dxa" w:w="22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FARM: Evaluation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FARM independently evaluates outcome vs ground truth; accuracy signal returned to AOA.</w:t>
            </w:r>
          </w:p>
        </w:tc>
      </w:tr>
      <w:tr>
        <w:tc>
          <w:tcPr>
            <w:tcW w:type="dxa" w:w="5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9</w:t>
            </w:r>
          </w:p>
        </w:tc>
        <w:tc>
          <w:tcPr>
            <w:tcW w:type="dxa" w:w="220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AOA: Lifecycle + Compliance</w:t>
            </w:r>
          </w:p>
        </w:tc>
        <w:tc>
          <w:tcPr>
            <w:tcW w:type="dxa" w:w="6660"/>
            <w:tcBorders>
              <w:top w:val="single" w:color="CBD5E1" w:sz="1"/>
              <w:left w:val="single" w:color="CBD5E1" w:sz="1"/>
              <w:bottom w:val="single" w:color="CBD5E1" w:sz="1"/>
              <w:right w:val="single" w:color="CBD5E1" w:sz="1"/>
            </w:tcBorders>
            <w:shd w:fill="F3F4F6" w:val="clear"/>
            <w:tcMar>
              <w:top w:type="dxa" w:w="60"/>
              <w:left w:type="dxa" w:w="120"/>
              <w:bottom w:type="dxa" w:w="60"/>
              <w:right w:type="dxa" w:w="120"/>
            </w:tcMar>
            <w:vAlign w:val="center"/>
          </w:tcPr>
          <w:p>
            <w:pPr>
              <w:jc w:val="center"/>
            </w:pPr>
            <w:r>
              <w:rPr>
                <w:rFonts w:ascii="Arial" w:cs="Arial" w:eastAsia="Arial" w:hAnsi="Arial"/>
                <w:b w:val="false"/>
                <w:bCs w:val="false"/>
                <w:color w:val="374151"/>
                <w:sz w:val="20"/>
                <w:szCs w:val="20"/>
              </w:rPr>
              <w:t xml:space="preserve">Run closed; cost attributed; agent health updated; zombie signals checked; conformity assessment evidence package updated.</w:t>
            </w:r>
          </w:p>
        </w:tc>
      </w:tr>
    </w:tbl>
    <w:p>
      <w:pPr>
        <w:spacing w:before="80" w:after="80"/>
      </w:pPr>
      <w:r>
        <w:t xml:space="preserve"/>
      </w:r>
    </w:p>
    <w:p>
      <w:pPr>
        <w:spacing w:before="80" w:after="80"/>
      </w:pPr>
      <w:r>
        <w:t xml:space="preserve"/>
      </w:r>
    </w:p>
    <w:p>
      <w:pPr>
        <w:spacing w:before="80" w:after="80"/>
      </w:pPr>
      <w:r>
        <w:t xml:space="preserve"/>
      </w:r>
    </w:p>
    <w:p>
      <w:pPr>
        <w:pBdr>
          <w:top w:val="single" w:color="CBD5E1" w:sz="4" w:space="4"/>
        </w:pBdr>
        <w:spacing w:before="160" w:after="80"/>
        <w:jc w:val="center"/>
      </w:pPr>
      <w:r>
        <w:rPr>
          <w:rFonts w:ascii="Arial" w:cs="Arial" w:eastAsia="Arial" w:hAnsi="Arial"/>
          <w:color w:val="94A3B8"/>
          <w:sz w:val="18"/>
          <w:szCs w:val="18"/>
        </w:rPr>
        <w:t xml:space="preserve">AutonomOS (AOS) — AOA Canonical Blueprint v2 | February 2026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2563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2026-02-18T03:27:02.373Z</dcterms:created>
  <dcterms:modified xsi:type="dcterms:W3CDTF">2026-02-18T03:27:02.374Z</dcterms:modified>
</cp:coreProperties>
</file>

<file path=docProps/custom.xml><?xml version="1.0" encoding="utf-8"?>
<Properties xmlns="http://schemas.openxmlformats.org/officeDocument/2006/custom-properties" xmlns:vt="http://schemas.openxmlformats.org/officeDocument/2006/docPropsVTypes"/>
</file>