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КОМП’ЮТЕРНО-НФОРМАЦІЙНИХ ТЕХНОЛОГІЙ</w:t>
      </w:r>
      <w:r w:rsidDel="00000000" w:rsidR="00000000" w:rsidRPr="00000000">
        <w:rPr>
          <w:rtl w:val="0"/>
        </w:rPr>
      </w:r>
    </w:p>
    <w:p w:rsidR="00000000" w:rsidDel="00000000" w:rsidP="00000000" w:rsidRDefault="00000000" w:rsidRPr="00000000" w14:paraId="00000005">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6">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7">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Майстренко Євгеній Віталійович</w:t>
      </w:r>
    </w:p>
    <w:p w:rsidR="00000000" w:rsidDel="00000000" w:rsidP="00000000" w:rsidRDefault="00000000" w:rsidRPr="00000000" w14:paraId="00000009">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bookmarkStart w:colFirst="0" w:colLast="0" w:name="_ykwct0912fs7"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 ІПЗ(1.6д)-ІТ</w:t>
      </w:r>
      <w:r w:rsidDel="00000000" w:rsidR="00000000" w:rsidRPr="00000000">
        <w:rPr>
          <w:rtl w:val="0"/>
        </w:rPr>
      </w:r>
    </w:p>
    <w:p w:rsidR="00000000" w:rsidDel="00000000" w:rsidP="00000000" w:rsidRDefault="00000000" w:rsidRPr="00000000" w14:paraId="0000000A">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B">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0C">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0D">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0E">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0F">
      <w:pPr>
        <w:tabs>
          <w:tab w:val="left" w:leader="none" w:pos="426"/>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0">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1">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tabs>
                <w:tab w:val="left" w:leader="none" w:pos="426"/>
              </w:tabs>
              <w:spacing w:line="360" w:lineRule="auto"/>
              <w:ind w:left="283.46456692913375" w:right="-844.724409448817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9">
      <w:pPr>
        <w:tabs>
          <w:tab w:val="left" w:leader="none" w:pos="426"/>
          <w:tab w:val="left" w:leader="none" w:pos="915"/>
        </w:tabs>
        <w:spacing w:line="360" w:lineRule="auto"/>
        <w:ind w:left="283.46456692913375" w:right="-844.724409448817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tabs>
          <w:tab w:val="left" w:leader="none" w:pos="426"/>
        </w:tabs>
        <w:spacing w:line="360" w:lineRule="auto"/>
        <w:ind w:left="283.46456692913375" w:right="-844.724409448817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1B">
      <w:pPr>
        <w:tabs>
          <w:tab w:val="left" w:leader="none" w:pos="426"/>
        </w:tabs>
        <w:spacing w:line="360" w:lineRule="auto"/>
        <w:ind w:left="283.46456692913375" w:right="-844.724409448817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____________ 2025 року </w:t>
      </w:r>
    </w:p>
    <w:p w:rsidR="00000000" w:rsidDel="00000000" w:rsidP="00000000" w:rsidRDefault="00000000" w:rsidRPr="00000000" w14:paraId="0000001C">
      <w:pPr>
        <w:tabs>
          <w:tab w:val="left" w:leader="none" w:pos="426"/>
        </w:tabs>
        <w:spacing w:line="360" w:lineRule="auto"/>
        <w:ind w:left="283.46456692913375" w:right="-844.724409448817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1D">
      <w:pPr>
        <w:tabs>
          <w:tab w:val="left" w:leader="none" w:pos="426"/>
          <w:tab w:val="left" w:leader="none" w:pos="1170"/>
          <w:tab w:val="right" w:leader="none" w:pos="9689"/>
        </w:tabs>
        <w:spacing w:line="360" w:lineRule="auto"/>
        <w:ind w:left="283.46456692913375" w:right="-844.724409448817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1E">
      <w:pPr>
        <w:tabs>
          <w:tab w:val="left" w:leader="none" w:pos="426"/>
          <w:tab w:val="left" w:leader="none" w:pos="1170"/>
          <w:tab w:val="right" w:leader="none" w:pos="9689"/>
        </w:tabs>
        <w:spacing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и ї в - 2025 р.</w:t>
      </w:r>
    </w:p>
    <w:p w:rsidR="00000000" w:rsidDel="00000000" w:rsidP="00000000" w:rsidRDefault="00000000" w:rsidRPr="00000000" w14:paraId="0000001F">
      <w:pPr>
        <w:pStyle w:val="Heading1"/>
        <w:spacing w:line="360" w:lineRule="auto"/>
        <w:ind w:left="283.46456692913375" w:right="-844.7244094488178" w:firstLine="0"/>
        <w:jc w:val="center"/>
        <w:rPr>
          <w:rFonts w:ascii="Times New Roman" w:cs="Times New Roman" w:eastAsia="Times New Roman" w:hAnsi="Times New Roman"/>
        </w:rPr>
      </w:pPr>
      <w:bookmarkStart w:colFirst="0" w:colLast="0" w:name="_eroff9vyp1ym" w:id="1"/>
      <w:bookmarkEnd w:id="1"/>
      <w:r w:rsidDel="00000000" w:rsidR="00000000" w:rsidRPr="00000000">
        <w:rPr>
          <w:rFonts w:ascii="Times New Roman" w:cs="Times New Roman" w:eastAsia="Times New Roman" w:hAnsi="Times New Roman"/>
          <w:rtl w:val="0"/>
        </w:rPr>
        <w:t xml:space="preserve">ЗМІСТ</w:t>
      </w:r>
    </w:p>
    <w:sdt>
      <w:sdtPr>
        <w:id w:val="936826117"/>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ind w:left="283.46456692913375" w:right="-844.7244094488178" w:firstLine="0"/>
            <w:rPr>
              <w:b w:val="1"/>
              <w:bCs w:val="1"/>
              <w:u w:val="none"/>
            </w:rPr>
          </w:pPr>
          <w:r w:rsidDel="00000000" w:rsidR="00000000" w:rsidRPr="00000000">
            <w:fldChar w:fldCharType="begin"/>
            <w:instrText xml:space="preserve"> TOC \h \u \z \t "Heading 1,1,Heading 2,2,Heading 4,4,Heading 5,5,Heading 6,6,"</w:instrText>
            <w:fldChar w:fldCharType="separate"/>
          </w:r>
          <w:hyperlink w:anchor="_s3ge6xworu2a">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ВСТУП</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283.46456692913375" w:right="-844.7244094488178" w:firstLine="0"/>
            <w:rPr>
              <w:b w:val="1"/>
              <w:bCs w:val="1"/>
              <w:u w:val="none"/>
            </w:rPr>
          </w:pPr>
          <w:hyperlink w:ancho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РОЗДІЛ 1</w:t>
              <w:br w:type="textWrapping"/>
              <w:t xml:space="preserve">АНАЛІЗ ДІЯЛЬНОСТІ GOIT ЯК ІТ-ОРГАНІЗАЦІЇ</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283.46456692913375" w:right="-844.7244094488178" w:firstLine="0"/>
            <w:rPr>
              <w:u w:val="none"/>
            </w:rPr>
          </w:pPr>
          <w:hyperlink w:anchor="_3fpkvtacjyz">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1.1. Загальна характеристика та історія розвитку компанії GoIT</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283.46456692913375" w:right="-844.7244094488178" w:firstLine="0"/>
            <w:rPr>
              <w:u w:val="none"/>
            </w:rPr>
          </w:pPr>
          <w:hyperlink w:anchor="_e277e8mwsgeu">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1.2. Організаційна структура та масштаби діяльності</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283.46456692913375" w:right="-844.7244094488178" w:firstLine="0"/>
            <w:rPr>
              <w:u w:val="none"/>
            </w:rPr>
          </w:pPr>
          <w:hyperlink w:anchor="_shepf36znolt">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1.3. Основні освітні продукти та сервіси</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283.46456692913375" w:right="-844.7244094488178" w:firstLine="0"/>
            <w:rPr>
              <w:u w:val="none"/>
            </w:rPr>
          </w:pPr>
          <w:hyperlink w:anchor="_neh3wtbjrzzz">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1.4. Роль GoIT на ринку ІТ-освіти України</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283.46456692913375" w:right="-844.7244094488178" w:firstLine="0"/>
            <w:rPr>
              <w:u w:val="none"/>
            </w:rPr>
          </w:pPr>
          <w:hyperlink w:anchor="_5wqpr2hbvcz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1.5. Зв'язок бази практики з темою звіту</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283.46456692913375" w:right="-844.7244094488178" w:firstLine="0"/>
            <w:rPr>
              <w:b w:val="1"/>
              <w:bCs w:val="1"/>
              <w:u w:val="none"/>
            </w:rPr>
          </w:pPr>
          <w:hyperlink w:anchor="_vlc5bb1l4fef">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РОЗДІЛ 2</w:t>
              <w:br w:type="textWrapping"/>
              <w:t xml:space="preserve">ТЕОРЕТИКО-МЕТОДОЛОГІЧНІ ОСНОВИ ПРОЕКТУВАННЯ ГЕЙМІФІКАЦІЇ</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283.46456692913375" w:right="-844.7244094488178" w:firstLine="0"/>
            <w:rPr>
              <w:u w:val="none"/>
            </w:rPr>
          </w:pPr>
          <w:hyperlink w:anchor="_3u9leu837z9m">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2.1. Визначаємо проблему низької залученості користувачів в EdTech і пропонуємо гейміфікацію як рішення</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283.46456692913375" w:right="-844.7244094488178" w:firstLine="0"/>
            <w:rPr>
              <w:u w:val="none"/>
            </w:rPr>
          </w:pPr>
          <w:hyperlink w:anchor="_megydsfcnquw">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2.2. Огляд літератури</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283.46456692913375" w:right="-844.7244094488178" w:firstLine="0"/>
            <w:rPr>
              <w:b w:val="1"/>
              <w:bCs w:val="1"/>
              <w:u w:val="none"/>
            </w:rPr>
          </w:pPr>
          <w:hyperlink w:anchor="_lvq7p79uthis">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РОЗДІЛ 3</w:t>
              <w:br w:type="textWrapping"/>
              <w:t xml:space="preserve">РОЗРОБКА МЕТОДОЛОГІЧНОГО КАРКАСУ ТА СИМУЛЯЦІЯ АРТЕФАКТІВ</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283.46456692913375" w:right="-844.7244094488178" w:firstLine="0"/>
            <w:rPr>
              <w:u w:val="none"/>
            </w:rPr>
          </w:pPr>
          <w:hyperlink w:anchor="_t97s9v7x75ue">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3.1. Процес проектування, який відображає принципи SDT та мотиватори Octalysis у персонажах типів гравців.</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283.46456692913375" w:right="-844.7244094488178" w:firstLine="0"/>
            <w:rPr>
              <w:u w:val="none"/>
            </w:rPr>
          </w:pPr>
          <w:hyperlink w:anchor="_wbyuie6cxzin">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3.2. Метод проектування потоку «Гейміфікована адаптація користувачів» як заміна традиційних CJM.</w:t>
              <w:tab/>
              <w:t xml:space="preserve">32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283.46456692913375" w:right="-844.7244094488178" w:firstLine="0"/>
            <w:rPr>
              <w:u w:val="none"/>
            </w:rPr>
          </w:pPr>
          <w:hyperlink w:anchor="_txjfllyla91c">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3.3. Результати</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283.46456692913375" w:right="-844.7244094488178" w:firstLine="0"/>
            <w:rPr>
              <w:u w:val="none"/>
            </w:rPr>
          </w:pPr>
          <w:hyperlink w:anchor="_uv3abvp685td">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3.4. План валідації запропонованої методології</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283.46456692913375" w:right="-844.7244094488178" w:firstLine="0"/>
            <w:rPr>
              <w:b w:val="1"/>
              <w:bCs w:val="1"/>
              <w:u w:val="none"/>
            </w:rPr>
          </w:pPr>
          <w:hyperlink w:anchor="_7gflzuvqb386">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ВИСНОВКИ</w:t>
              <w:tab/>
              <w:t xml:space="preserve">41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283.46456692913375" w:right="-844.7244094488178" w:firstLine="0"/>
            <w:rPr>
              <w:b w:val="1"/>
              <w:bCs w:val="1"/>
              <w:u w:val="none"/>
            </w:rPr>
          </w:pPr>
          <w:hyperlink w:anchor="_9j1ngv1dccwd">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Список використаних джерел</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283.46456692913375" w:right="-844.7244094488178" w:firstLine="0"/>
            <w:rPr>
              <w:b w:val="1"/>
              <w:bCs w:val="1"/>
              <w:u w:val="none"/>
            </w:rPr>
          </w:pPr>
          <w:hyperlink w:anchor="_alxur0baleku">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Додаток А </w:t>
              <w:br w:type="textWrapping"/>
              <w:t xml:space="preserve">Детальний огляд валідованих опитувальників</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283.46456692913375" w:right="-844.7244094488178" w:firstLine="0"/>
            <w:rPr>
              <w:u w:val="none"/>
            </w:rPr>
          </w:pPr>
          <w:hyperlink w:anchor="_9u7tnda8abod">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Додаток А.1. The Gameful Experience Questionnaire (GAMEFULQUEST)</w:t>
              <w:tab/>
              <w:t xml:space="preserve">48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283.46456692913375" w:right="-844.7244094488178" w:firstLine="0"/>
            <w:rPr>
              <w:u w:val="none"/>
            </w:rPr>
          </w:pPr>
          <w:hyperlink w:anchor="_3qa8nhq2xtex">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Додаток А.2. Player Experience of Need Satisfaction (PENS)</w:t>
              <w:tab/>
              <w:t xml:space="preserve">48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283.46456692913375" w:right="-844.7244094488178" w:firstLine="0"/>
            <w:rPr>
              <w:u w:val="none"/>
            </w:rPr>
          </w:pPr>
          <w:hyperlink w:anchor="_xs7go66h8w5d">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Додаток А.3. MEEGA+ (Motivation, Engagement, and Efficacy in Gamified Applications)</w:t>
              <w:tab/>
              <w:t xml:space="preserve">49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283.46456692913375" w:right="-844.7244094488178" w:firstLine="0"/>
            <w:rPr>
              <w:u w:val="none"/>
            </w:rPr>
          </w:pPr>
          <w:hyperlink w:anchor="_atgv94wc3q7l">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Додаток А.4. Intrinsic Motivation Inventory (IMI)</w:t>
              <w:tab/>
              <w:t xml:space="preserve">49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283.46456692913375" w:right="-844.7244094488178" w:firstLine="0"/>
            <w:rPr>
              <w:u w:val="none"/>
            </w:rPr>
          </w:pPr>
          <w:hyperlink w:anchor="_qbthbqmgxsdg">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Додаток А.5 Ключові Висновки та Рекомендації</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360" w:lineRule="auto"/>
        <w:ind w:left="283.46456692913375" w:right="-844.7244094488178" w:firstLine="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before="280" w:line="360" w:lineRule="auto"/>
        <w:ind w:left="283.46456692913375" w:right="-844.7244094488178" w:firstLine="0"/>
        <w:jc w:val="center"/>
        <w:rPr>
          <w:rFonts w:ascii="Times New Roman" w:cs="Times New Roman" w:eastAsia="Times New Roman" w:hAnsi="Times New Roman"/>
          <w:sz w:val="28"/>
          <w:szCs w:val="28"/>
        </w:rPr>
      </w:pPr>
      <w:bookmarkStart w:colFirst="0" w:colLast="0" w:name="_s3ge6xworu2a" w:id="2"/>
      <w:bookmarkEnd w:id="2"/>
      <w:r w:rsidDel="00000000" w:rsidR="00000000" w:rsidRPr="00000000">
        <w:rPr>
          <w:rFonts w:ascii="Times New Roman" w:cs="Times New Roman" w:eastAsia="Times New Roman" w:hAnsi="Times New Roman"/>
          <w:sz w:val="28"/>
          <w:szCs w:val="28"/>
          <w:rtl w:val="0"/>
        </w:rPr>
        <w:t xml:space="preserve">ВСТУП</w:t>
      </w:r>
    </w:p>
    <w:p w:rsidR="00000000" w:rsidDel="00000000" w:rsidP="00000000" w:rsidRDefault="00000000" w:rsidRPr="00000000" w14:paraId="00000039">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Сучасний ринок освітніх технологій (EdTech) стикається з фундаментальним викликом — не просто наданням знань, а й утриманням уваги та мотивації студентів у довгостроковій перспективі. Проходження практики на базі провідної EdTech-компанії України, </w:t>
      </w:r>
      <w:r w:rsidDel="00000000" w:rsidR="00000000" w:rsidRPr="00000000">
        <w:rPr>
          <w:rFonts w:ascii="Times New Roman" w:cs="Times New Roman" w:eastAsia="Times New Roman" w:hAnsi="Times New Roman"/>
          <w:b w:val="1"/>
          <w:bCs w:val="1"/>
          <w:sz w:val="28"/>
          <w:szCs w:val="28"/>
          <w:rtl w:val="0"/>
        </w:rPr>
        <w:t xml:space="preserve">ТОВ «ГОУ АЙТИ ЕДЬЮКЕЙШН» (GoIT)</w:t>
      </w:r>
      <w:r w:rsidDel="00000000" w:rsidR="00000000" w:rsidRPr="00000000">
        <w:rPr>
          <w:rFonts w:ascii="Times New Roman" w:cs="Times New Roman" w:eastAsia="Times New Roman" w:hAnsi="Times New Roman"/>
          <w:sz w:val="28"/>
          <w:szCs w:val="28"/>
          <w:rtl w:val="0"/>
        </w:rPr>
        <w:t xml:space="preserve">, надало унікальну можливість дослідити цю проблему зсередини.</w:t>
      </w:r>
    </w:p>
    <w:p w:rsidR="00000000" w:rsidDel="00000000" w:rsidP="00000000" w:rsidRDefault="00000000" w:rsidRPr="00000000" w14:paraId="0000003A">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Актуальність теми</w:t>
      </w:r>
      <w:r w:rsidDel="00000000" w:rsidR="00000000" w:rsidRPr="00000000">
        <w:rPr>
          <w:rFonts w:ascii="Times New Roman" w:cs="Times New Roman" w:eastAsia="Times New Roman" w:hAnsi="Times New Roman"/>
          <w:sz w:val="28"/>
          <w:szCs w:val="28"/>
          <w:rtl w:val="0"/>
        </w:rPr>
        <w:t xml:space="preserve"> полягає у тому, що традиційні методи навчання часто виявляються недостатньо ефективними для цифрового покоління. У відповідь на це, індустрія активно впроваджує механіки гейміфікації для підвищення залученості. Однак багато таких спроб є хаотичними і не спираються на науково обґрунтовані мотиваційні теорії.</w:t>
      </w:r>
    </w:p>
    <w:p w:rsidR="00000000" w:rsidDel="00000000" w:rsidP="00000000" w:rsidRDefault="00000000" w:rsidRPr="00000000" w14:paraId="0000003B">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Метою</w:t>
      </w:r>
      <w:r w:rsidDel="00000000" w:rsidR="00000000" w:rsidRPr="00000000">
        <w:rPr>
          <w:rFonts w:ascii="Times New Roman" w:cs="Times New Roman" w:eastAsia="Times New Roman" w:hAnsi="Times New Roman"/>
          <w:sz w:val="28"/>
          <w:szCs w:val="28"/>
          <w:rtl w:val="0"/>
        </w:rPr>
        <w:t xml:space="preserve"> проходження практики було виконання дослідницьких завдань, визначених у календарному плані, а саме:</w:t>
      </w:r>
    </w:p>
    <w:p w:rsidR="00000000" w:rsidDel="00000000" w:rsidP="00000000" w:rsidRDefault="00000000" w:rsidRPr="00000000" w14:paraId="0000003C">
      <w:pPr>
        <w:numPr>
          <w:ilvl w:val="0"/>
          <w:numId w:val="3"/>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організаційної структури та продуктів компанії GoIT.</w:t>
      </w:r>
    </w:p>
    <w:p w:rsidR="00000000" w:rsidDel="00000000" w:rsidP="00000000" w:rsidRDefault="00000000" w:rsidRPr="00000000" w14:paraId="0000003D">
      <w:pPr>
        <w:numPr>
          <w:ilvl w:val="0"/>
          <w:numId w:val="3"/>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Дослідження та синтез академічних мотиваційних фреймворків, зокрема Теорії Самодетермінації (SDT) та Octalysis.</w:t>
      </w:r>
    </w:p>
    <w:p w:rsidR="00000000" w:rsidDel="00000000" w:rsidP="00000000" w:rsidRDefault="00000000" w:rsidRPr="00000000" w14:paraId="0000003E">
      <w:pPr>
        <w:numPr>
          <w:ilvl w:val="0"/>
          <w:numId w:val="3"/>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методологічного каркасу для проектування гейміфікованих EdTech-додатків, що включає симуляцію практичних UX-артефактів (персони, сценарії онбордингу).</w:t>
      </w:r>
    </w:p>
    <w:p w:rsidR="00000000" w:rsidDel="00000000" w:rsidP="00000000" w:rsidRDefault="00000000" w:rsidRPr="00000000" w14:paraId="0000003F">
      <w:pPr>
        <w:numPr>
          <w:ilvl w:val="0"/>
          <w:numId w:val="3"/>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валідованих інструментів для вимірювання ефективності запропонованого дизайну.</w:t>
      </w:r>
    </w:p>
    <w:p w:rsidR="00000000" w:rsidDel="00000000" w:rsidP="00000000" w:rsidRDefault="00000000" w:rsidRPr="00000000" w14:paraId="00000040">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Об'єктом</w:t>
      </w:r>
      <w:r w:rsidDel="00000000" w:rsidR="00000000" w:rsidRPr="00000000">
        <w:rPr>
          <w:rFonts w:ascii="Times New Roman" w:cs="Times New Roman" w:eastAsia="Times New Roman" w:hAnsi="Times New Roman"/>
          <w:sz w:val="28"/>
          <w:szCs w:val="28"/>
          <w:rtl w:val="0"/>
        </w:rPr>
        <w:t xml:space="preserve"> дослідження є процес проектування гейміфікованих освітніх систем. </w:t>
      </w:r>
      <w:r w:rsidDel="00000000" w:rsidR="00000000" w:rsidRPr="00000000">
        <w:rPr>
          <w:rFonts w:ascii="Times New Roman" w:cs="Times New Roman" w:eastAsia="Times New Roman" w:hAnsi="Times New Roman"/>
          <w:b w:val="1"/>
          <w:bCs w:val="1"/>
          <w:sz w:val="28"/>
          <w:szCs w:val="28"/>
          <w:rtl w:val="0"/>
        </w:rPr>
        <w:t xml:space="preserve">Предметом</w:t>
      </w:r>
      <w:r w:rsidDel="00000000" w:rsidR="00000000" w:rsidRPr="00000000">
        <w:rPr>
          <w:rFonts w:ascii="Times New Roman" w:cs="Times New Roman" w:eastAsia="Times New Roman" w:hAnsi="Times New Roman"/>
          <w:sz w:val="28"/>
          <w:szCs w:val="28"/>
          <w:rtl w:val="0"/>
        </w:rPr>
        <w:t xml:space="preserve"> дослідження є методологічний каркас, що поєднує UX-дизайн з мотиваційними теоріями SDT та Octalysis.</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widowControl w:val="0"/>
        <w:spacing w:before="0" w:line="360" w:lineRule="auto"/>
        <w:ind w:left="283.46456692913375" w:right="-844.724409448817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РОЗДІЛ 1</w:t>
        <w:br w:type="textWrapping"/>
        <w:t xml:space="preserve">АНАЛІЗ ДІЯЛЬНОСТІ GOIT ЯК ІТ-ОРГАНІЗАЦІЇ</w:t>
      </w:r>
      <w:r w:rsidDel="00000000" w:rsidR="00000000" w:rsidRPr="00000000">
        <w:rPr>
          <w:rtl w:val="0"/>
        </w:rPr>
      </w:r>
    </w:p>
    <w:p w:rsidR="00000000" w:rsidDel="00000000" w:rsidP="00000000" w:rsidRDefault="00000000" w:rsidRPr="00000000" w14:paraId="00000042">
      <w:pPr>
        <w:pStyle w:val="Heading2"/>
        <w:keepNext w:val="0"/>
        <w:keepLines w:val="0"/>
        <w:widowControl w:val="0"/>
        <w:spacing w:after="80" w:line="360" w:lineRule="auto"/>
        <w:ind w:left="283.46456692913375" w:right="-844.7244094488178" w:firstLine="0"/>
        <w:rPr>
          <w:rFonts w:ascii="Times New Roman" w:cs="Times New Roman" w:eastAsia="Times New Roman" w:hAnsi="Times New Roman"/>
          <w:b w:val="1"/>
          <w:bCs w:val="1"/>
          <w:sz w:val="34"/>
          <w:szCs w:val="34"/>
        </w:rPr>
      </w:pPr>
      <w:bookmarkStart w:colFirst="0" w:colLast="0" w:name="_3fpkvtacjyz" w:id="3"/>
      <w:bookmarkEnd w:id="3"/>
      <w:r w:rsidDel="00000000" w:rsidR="00000000" w:rsidRPr="00000000">
        <w:rPr>
          <w:rFonts w:ascii="Times New Roman" w:cs="Times New Roman" w:eastAsia="Times New Roman" w:hAnsi="Times New Roman"/>
          <w:b w:val="1"/>
          <w:bCs w:val="1"/>
          <w:sz w:val="34"/>
          <w:szCs w:val="34"/>
          <w:rtl w:val="0"/>
        </w:rPr>
        <w:t xml:space="preserve">1.1. Загальна характеристика та історія розвитку компанії GoIT</w:t>
      </w:r>
    </w:p>
    <w:p w:rsidR="00000000" w:rsidDel="00000000" w:rsidP="00000000" w:rsidRDefault="00000000" w:rsidRPr="00000000" w14:paraId="00000043">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Практику я проходив у Товаристві з обмеженою відповідальністю «ГОУ АЙТІ ЕДЬЮКЕЙШН», яке працює на ринку освітніх послуг під брендом GoIT. Ця компанія — одна з найбільших міжнародних онлайн-платформ у сфері EdTech, що готує та перекваліфіковує фахівців для ІТ-індустрії.</w:t>
      </w:r>
    </w:p>
    <w:p w:rsidR="00000000" w:rsidDel="00000000" w:rsidP="00000000" w:rsidRDefault="00000000" w:rsidRPr="00000000" w14:paraId="00000044">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розпочала свою діяльність в Україні у 2014 році [21]. Засновниками стали серійний підприємець Роман Корицький та Антон Чорний, який зараз обіймає посаду CEO [21]. Компанія визначає свою місію просто й амбітно: «Наша місія — допомогти кожному створити свою історію успіху» [22]. Це не просто декларація — саме цей підхід визначає стратегічний напрям GoIT: вони не лише навчають, а й дають інструменти для справжньої кар’єрної трансформації своїх клієнтів.</w:t>
      </w:r>
    </w:p>
    <w:p w:rsidR="00000000" w:rsidDel="00000000" w:rsidP="00000000" w:rsidRDefault="00000000" w:rsidRPr="00000000" w14:paraId="00000045">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Основну увагу GoIT приділяє так званим «світчерам» (від англ. </w:t>
      </w:r>
      <w:r w:rsidDel="00000000" w:rsidR="00000000" w:rsidRPr="00000000">
        <w:rPr>
          <w:rFonts w:ascii="Times New Roman" w:cs="Times New Roman" w:eastAsia="Times New Roman" w:hAnsi="Times New Roman"/>
          <w:i w:val="1"/>
          <w:iCs w:val="1"/>
          <w:sz w:val="28"/>
          <w:szCs w:val="28"/>
          <w:rtl w:val="0"/>
        </w:rPr>
        <w:t xml:space="preserve">switcher</w:t>
      </w:r>
      <w:r w:rsidDel="00000000" w:rsidR="00000000" w:rsidRPr="00000000">
        <w:rPr>
          <w:rFonts w:ascii="Times New Roman" w:cs="Times New Roman" w:eastAsia="Times New Roman" w:hAnsi="Times New Roman"/>
          <w:sz w:val="28"/>
          <w:szCs w:val="28"/>
          <w:rtl w:val="0"/>
        </w:rPr>
        <w:t xml:space="preserve">) — дорослим фахівцям із різних сфер, які вирішили змінити професію й розпочати шлях в ІТ [21]. Компанія позиціонує себе як одну з найбільших онлайн-шкіл для новачків [21] і зосереджується на створенні програм, що дозволяють швидко й ефективно опанувати нову спеціальність із нуля.</w:t>
      </w:r>
    </w:p>
    <w:p w:rsidR="00000000" w:rsidDel="00000000" w:rsidP="00000000" w:rsidRDefault="00000000" w:rsidRPr="00000000" w14:paraId="00000046">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Розвиток GoIT завжди був динамічним. Ключовий прорив стався, коли компанія змінила підхід: вона перейшла від традиційного офлайн-навчання до переважно онлайн-моделі. Саме це рішення дозволило подолати географічні обмеження й значно розширити свою діяльність.</w:t>
      </w:r>
    </w:p>
    <w:p w:rsidR="00000000" w:rsidDel="00000000" w:rsidP="00000000" w:rsidRDefault="00000000" w:rsidRPr="00000000" w14:paraId="00000047">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 2020 і 2023 роками GoIT пережила період стрімкого зростання. За ці три роки компанія збільшила свої доходи у доларовому еквіваленті більш ніж у 12 разів [21]. Видання Forbes оцінює виручку GoIT у 2022 році в межах 200–400 мільйонів гривень [21]. Така фінансова динаміка — не випадковість. Вона стала прямим наслідком того, як компанія скористалася глобальними макроекономічними змінами. Цей період збігся з пандемією COVID-19 і хвилею «великої відставки» (Great Resignation). Люди масово переходили на дистанційну роботу та навчання, а попит на ІТ-професії, які дозволяють працювати віддалено, значно зріс. Стратегія GoIT, орієнтована на «світчерів» [21], ідеально відповідала цим новим запитам ринку, тому компанія змогла зайняти нішу серед тих, хто шукав нові кар’єрні можливості в нових економічних умовах.</w:t>
      </w:r>
    </w:p>
    <w:p w:rsidR="00000000" w:rsidDel="00000000" w:rsidP="00000000" w:rsidRDefault="00000000" w:rsidRPr="00000000" w14:paraId="00000048">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Вражаючі результати роботи та фінансова стабільність привернули увагу інвесторів. У листопаді 2023 року GoIT повідомила про залучення інвестицій до 15 мільйонів доларів США від венчурного фонду Horizon Capital [21]. Ці кошти вирішили спрямувати на два основних напрями: подальше розширення на глобальному ринку та глибоку інтеграцію технологій штучного інтелекту в освітні продукти компанії [23].</w:t>
      </w:r>
      <w:r w:rsidDel="00000000" w:rsidR="00000000" w:rsidRPr="00000000">
        <w:rPr>
          <w:rtl w:val="0"/>
        </w:rPr>
      </w:r>
    </w:p>
    <w:p w:rsidR="00000000" w:rsidDel="00000000" w:rsidP="00000000" w:rsidRDefault="00000000" w:rsidRPr="00000000" w14:paraId="00000049">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Щодо стратегії міжнародного розвитку, GoIT не обмежилася лише вже освоєними ринками, такими як Польща та Румунія; компанія тестувала нові напрями. Вона активно працювала у Колумбії та країнах Південно-Східної Азії, запускала пілотні проєкти в Туреччині й аналізувала перспективи в Чилі, Мексиці та В’єтнамі [23].</w:t>
      </w:r>
      <w:r w:rsidDel="00000000" w:rsidR="00000000" w:rsidRPr="00000000">
        <w:rPr>
          <w:rtl w:val="0"/>
        </w:rPr>
      </w:r>
    </w:p>
    <w:p w:rsidR="00000000" w:rsidDel="00000000" w:rsidP="00000000" w:rsidRDefault="00000000" w:rsidRPr="00000000" w14:paraId="0000004A">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 наприкінці 2024 року компанія зіткнулася з операційними труднощами, які вимагали оперативних змін у стратегії. CEO Антон Чорний оголосив про тимчасове призупинення діяльності на ринках Латинської Америки (зокрема Мексики та Колумбії) і на Філіппінах [21].Аналіз цього рішення показує: бізнес-модель GoIT напряму залежить від макроекономічної стабільності у країнах присутності. За словами керівника компанії, проблеми виникли через погіршення фінансової ситуації в регіонах, особливо через кризу доступності споживчого кредитування освітніх послуг: «з кредитами й з розстрочками все стало погано. У людей зовсім немає грошей на навчання» [21]. Це рішення — прийняте лише через рік після отримання значного капіталу від Horizon Capital [21], який мав би підтримати глобальне розширення [23], — свідчить про високий рівень операційної зрілості та жорсткої фінансової дисципліни. Часто венчурні інвестиції підштовхують компанії до «зростання за будь-яку ціну», але GoIT швидко ідентифікувала ризики і не стала вкладати ресурси у нерентабельні ринки. Керівництво чітко розуміє: бізнес-модель, що ґрунтується на продажу відносно дорогих освітніх програм, дуже чутлива до змін у доступності споживчих кредитів. Тому замість подальших витрат на проблемні ринки компанія ухвалила зважене фінансове рішення щодо корекції стратегії. Це показує: для GoIT важливіше забезпечити стійкість і ефективність бізнесу, ніж просто розширювати географію присутності.</w:t>
      </w:r>
    </w:p>
    <w:p w:rsidR="00000000" w:rsidDel="00000000" w:rsidP="00000000" w:rsidRDefault="00000000" w:rsidRPr="00000000" w14:paraId="0000004B">
      <w:pPr>
        <w:pStyle w:val="Heading2"/>
        <w:keepNext w:val="0"/>
        <w:keepLines w:val="0"/>
        <w:widowControl w:val="0"/>
        <w:spacing w:after="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e277e8mwsgeu" w:id="4"/>
      <w:bookmarkEnd w:id="4"/>
      <w:r w:rsidDel="00000000" w:rsidR="00000000" w:rsidRPr="00000000">
        <w:rPr>
          <w:rFonts w:ascii="Times New Roman" w:cs="Times New Roman" w:eastAsia="Times New Roman" w:hAnsi="Times New Roman"/>
          <w:b w:val="1"/>
          <w:bCs w:val="1"/>
          <w:sz w:val="28"/>
          <w:szCs w:val="28"/>
          <w:rtl w:val="0"/>
        </w:rPr>
        <w:t xml:space="preserve">1.2. Організаційна структура та масштаби діяльності</w:t>
      </w:r>
    </w:p>
    <w:p w:rsidR="00000000" w:rsidDel="00000000" w:rsidP="00000000" w:rsidRDefault="00000000" w:rsidRPr="00000000" w14:paraId="0000004C">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уважно придивитися до організаційної структури GoIT, стає зрозуміло: компанія вже давно переступила межі класичної моделі «освітніх курсів». Зараз вона розвивається як багатогранна екосистема, яка прагне охопити різні вікові та професійні групи на ринку освітніх послуг.</w:t>
      </w:r>
    </w:p>
    <w:p w:rsidR="00000000" w:rsidDel="00000000" w:rsidP="00000000" w:rsidRDefault="00000000" w:rsidRPr="00000000" w14:paraId="0000004D">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структурі компанії можна виділити три основні стратегічні напрями:</w:t>
      </w:r>
    </w:p>
    <w:p w:rsidR="00000000" w:rsidDel="00000000" w:rsidP="00000000" w:rsidRDefault="00000000" w:rsidRPr="00000000" w14:paraId="0000004E">
      <w:pPr>
        <w:widowControl w:val="0"/>
        <w:numPr>
          <w:ilvl w:val="0"/>
          <w:numId w:val="10"/>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GoIT (Core Business)</w:t>
      </w:r>
      <w:r w:rsidDel="00000000" w:rsidR="00000000" w:rsidRPr="00000000">
        <w:rPr>
          <w:rFonts w:ascii="Times New Roman" w:cs="Times New Roman" w:eastAsia="Times New Roman" w:hAnsi="Times New Roman"/>
          <w:sz w:val="28"/>
          <w:szCs w:val="28"/>
          <w:rtl w:val="0"/>
        </w:rPr>
        <w:t xml:space="preserve">. Це головний напрям, зосереджений на флагманських продуктах для дорослих «світчерів» – людей, які починають опановувати нову ІТ-професію з нуля.</w:t>
      </w:r>
    </w:p>
    <w:p w:rsidR="00000000" w:rsidDel="00000000" w:rsidP="00000000" w:rsidRDefault="00000000" w:rsidRPr="00000000" w14:paraId="0000004F">
      <w:pPr>
        <w:widowControl w:val="0"/>
        <w:numPr>
          <w:ilvl w:val="0"/>
          <w:numId w:val="10"/>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GoITeens</w:t>
      </w:r>
      <w:r w:rsidDel="00000000" w:rsidR="00000000" w:rsidRPr="00000000">
        <w:rPr>
          <w:rFonts w:ascii="Times New Roman" w:cs="Times New Roman" w:eastAsia="Times New Roman" w:hAnsi="Times New Roman"/>
          <w:sz w:val="28"/>
          <w:szCs w:val="28"/>
          <w:rtl w:val="0"/>
        </w:rPr>
        <w:t xml:space="preserve">. Окремий проєкт, спрямований на розвиток цифрових навичок і підготовку дітей та підлітків до майбутніх ІТ-спеціальностей.</w:t>
      </w:r>
      <w:r w:rsidDel="00000000" w:rsidR="00000000" w:rsidRPr="00000000">
        <w:rPr>
          <w:rtl w:val="0"/>
        </w:rPr>
      </w:r>
    </w:p>
    <w:p w:rsidR="00000000" w:rsidDel="00000000" w:rsidP="00000000" w:rsidRDefault="00000000" w:rsidRPr="00000000" w14:paraId="00000050">
      <w:pPr>
        <w:widowControl w:val="0"/>
        <w:numPr>
          <w:ilvl w:val="0"/>
          <w:numId w:val="10"/>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Neoversity</w:t>
      </w:r>
      <w:r w:rsidDel="00000000" w:rsidR="00000000" w:rsidRPr="00000000">
        <w:rPr>
          <w:rFonts w:ascii="Times New Roman" w:cs="Times New Roman" w:eastAsia="Times New Roman" w:hAnsi="Times New Roman"/>
          <w:sz w:val="28"/>
          <w:szCs w:val="28"/>
          <w:rtl w:val="0"/>
        </w:rPr>
        <w:t xml:space="preserve">. Стратегічний підрозділ, що функціонує як повноцінний онлайн-університет із програмами бакалаврату та магістратури.</w:t>
      </w:r>
      <w:r w:rsidDel="00000000" w:rsidR="00000000" w:rsidRPr="00000000">
        <w:rPr>
          <w:rtl w:val="0"/>
        </w:rPr>
      </w:r>
    </w:p>
    <w:p w:rsidR="00000000" w:rsidDel="00000000" w:rsidP="00000000" w:rsidRDefault="00000000" w:rsidRPr="00000000" w14:paraId="00000051">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Впровадження GoITeens і Neoversity стало стратегічним кроком у диверсифікації. Завдяки цьому GoIT перетворюється з монопродуктового «буткему» на цілісну освітню екосистему, здатну супроводжувати людину від шкільного віку до магістерського рівня. Основний бізнес – курси для «світчерів» – працює у висококонкурентному середовищі й, як показує досвід Латинської Америки [21], чутливий до економічних змін. На цьому тлі GoITeens стає каналом раннього залучення та формує лояльність до бренду ще з юності. Neoversity, у свою чергу, дозволяє компанії виходити на ринок традиційної вищої освіти, який значно ширший. Така модель забезпечує довгий «життєвий цикл» клієнта (Customer Lifetime Value) й урізноманітнює джерела доходу.</w:t>
      </w:r>
    </w:p>
    <w:p w:rsidR="00000000" w:rsidDel="00000000" w:rsidP="00000000" w:rsidRDefault="00000000" w:rsidRPr="00000000" w14:paraId="00000052">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Особливе місце в структурі GoIT посідає </w:t>
      </w:r>
      <w:r w:rsidDel="00000000" w:rsidR="00000000" w:rsidRPr="00000000">
        <w:rPr>
          <w:rFonts w:ascii="Times New Roman" w:cs="Times New Roman" w:eastAsia="Times New Roman" w:hAnsi="Times New Roman"/>
          <w:b w:val="1"/>
          <w:bCs w:val="1"/>
          <w:sz w:val="28"/>
          <w:szCs w:val="28"/>
          <w:rtl w:val="0"/>
        </w:rPr>
        <w:t xml:space="preserve">Neoversity</w:t>
      </w:r>
      <w:r w:rsidDel="00000000" w:rsidR="00000000" w:rsidRPr="00000000">
        <w:rPr>
          <w:rFonts w:ascii="Times New Roman" w:cs="Times New Roman" w:eastAsia="Times New Roman" w:hAnsi="Times New Roman"/>
          <w:sz w:val="28"/>
          <w:szCs w:val="28"/>
          <w:rtl w:val="0"/>
        </w:rPr>
        <w:t xml:space="preserve">. Це підрозділ, який впроваджує унікальну гібридну стратегію акредитації для легітимізації онлайн-освіти [24].</w:t>
      </w:r>
    </w:p>
    <w:p w:rsidR="00000000" w:rsidDel="00000000" w:rsidP="00000000" w:rsidRDefault="00000000" w:rsidRPr="00000000" w14:paraId="00000053">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Почнемо з того, що Neoversity отримала </w:t>
      </w:r>
      <w:r w:rsidDel="00000000" w:rsidR="00000000" w:rsidRPr="00000000">
        <w:rPr>
          <w:rFonts w:ascii="Times New Roman" w:cs="Times New Roman" w:eastAsia="Times New Roman" w:hAnsi="Times New Roman"/>
          <w:b w:val="1"/>
          <w:bCs w:val="1"/>
          <w:sz w:val="28"/>
          <w:szCs w:val="28"/>
          <w:rtl w:val="0"/>
        </w:rPr>
        <w:t xml:space="preserve">міжнародну акредитацію</w:t>
      </w:r>
      <w:r w:rsidDel="00000000" w:rsidR="00000000" w:rsidRPr="00000000">
        <w:rPr>
          <w:rFonts w:ascii="Times New Roman" w:cs="Times New Roman" w:eastAsia="Times New Roman" w:hAnsi="Times New Roman"/>
          <w:sz w:val="28"/>
          <w:szCs w:val="28"/>
          <w:rtl w:val="0"/>
        </w:rPr>
        <w:t xml:space="preserve"> завдяки статусу коледжу-члена глобального університету Woolf University [25]. Це партнерство відкриває можливість реалізовувати магістерські програми (наприклад, з Software Engineering, Data Science чи Cybersecurity) із міжнародною сертифікацією. Дипломи, видані в межах цієї співпраці, визнають у понад 50 країнах [24].</w:t>
      </w:r>
      <w:r w:rsidDel="00000000" w:rsidR="00000000" w:rsidRPr="00000000">
        <w:rPr>
          <w:rtl w:val="0"/>
        </w:rPr>
      </w:r>
    </w:p>
    <w:p w:rsidR="00000000" w:rsidDel="00000000" w:rsidP="00000000" w:rsidRDefault="00000000" w:rsidRPr="00000000" w14:paraId="00000054">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Окрім цього, Neoversity має </w:t>
      </w:r>
      <w:r w:rsidDel="00000000" w:rsidR="00000000" w:rsidRPr="00000000">
        <w:rPr>
          <w:rFonts w:ascii="Times New Roman" w:cs="Times New Roman" w:eastAsia="Times New Roman" w:hAnsi="Times New Roman"/>
          <w:b w:val="1"/>
          <w:bCs w:val="1"/>
          <w:sz w:val="28"/>
          <w:szCs w:val="28"/>
          <w:rtl w:val="0"/>
        </w:rPr>
        <w:t xml:space="preserve">національну ліцензію</w:t>
      </w:r>
      <w:r w:rsidDel="00000000" w:rsidR="00000000" w:rsidRPr="00000000">
        <w:rPr>
          <w:rFonts w:ascii="Times New Roman" w:cs="Times New Roman" w:eastAsia="Times New Roman" w:hAnsi="Times New Roman"/>
          <w:sz w:val="28"/>
          <w:szCs w:val="28"/>
          <w:rtl w:val="0"/>
        </w:rPr>
        <w:t xml:space="preserve"> Міністерства освіти і науки України (МОН). Це дає змогу видавати офіційні державні дипломи.</w:t>
      </w:r>
    </w:p>
    <w:p w:rsidR="00000000" w:rsidDel="00000000" w:rsidP="00000000" w:rsidRDefault="00000000" w:rsidRPr="00000000" w14:paraId="00000055">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Подвійна акредитація стала інноваційною відповіддю на традиційну проблему онлайн-освіти – нестачу формального визнання. GoIT вирішує це питання комплексно: партнерство з Woolf забезпечує міжнародну легітимність для тих, хто орієнтується на глобальний ринок праці; ліцензія МОН гарантує національне визнання й приваблює українських студентів і їхніх батьків, яким важливий державний диплом. Це також дозволяє конкурувати із класичними університетами.</w:t>
      </w:r>
    </w:p>
    <w:p w:rsidR="00000000" w:rsidDel="00000000" w:rsidP="00000000" w:rsidRDefault="00000000" w:rsidRPr="00000000" w14:paraId="00000056">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У 2024 році Neoversity відкрив набір на нову онлайн-бакалаврську програму «Artificial Intelligence in Software Engineering» («Штучний інтелект в інженерії програмного забезпечення»). Програма розрахована на чотири роки навчання, проходить повністю онлайн і дає випускникам офіційний український диплом бакалавра (рівень 6 Європейської рамки кваліфікацій, 240 кредитів ECTS). Навчальний план поєднує фундаментальні курси (програмування, алгоритми, математика) із глибоким зануренням у сучасні технології ШІ: обробку природної мови (NLP), генеративний ШІ (Generative AI), комп’ютерний зір (CV) та інфраструктуру для масштабування рішень зі штучним інтелектом (MLOps).</w:t>
      </w:r>
      <w:r w:rsidDel="00000000" w:rsidR="00000000" w:rsidRPr="00000000">
        <w:rPr>
          <w:rtl w:val="0"/>
        </w:rPr>
      </w:r>
    </w:p>
    <w:p w:rsidR="00000000" w:rsidDel="00000000" w:rsidP="00000000" w:rsidRDefault="00000000" w:rsidRPr="00000000" w14:paraId="00000057">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Що стосується масштабів діяльності GoIT, то тут цифри говорять самі за себе. Станом на 2024 рік кількість випускників програм компанії перевищила 20 000 осіб [21].З них понад 6 000 вже успішно працевлаштовані [27].</w:t>
      </w:r>
      <w:r w:rsidDel="00000000" w:rsidR="00000000" w:rsidRPr="00000000">
        <w:rPr>
          <w:rtl w:val="0"/>
        </w:rPr>
      </w:r>
    </w:p>
    <w:p w:rsidR="00000000" w:rsidDel="00000000" w:rsidP="00000000" w:rsidRDefault="00000000" w:rsidRPr="00000000" w14:paraId="00000058">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GoIT вибудувала широку мережу партнерських стосунків із ІТ-бізнесом. Кількість компаній-партнерів із прямими угодами перевищує 100 [28]. Якщо ж рахувати всі компанії в Україні, Європі та США, де працюють випускники GoIT, то їх понад 2 100 [22].</w:t>
      </w:r>
      <w:r w:rsidDel="00000000" w:rsidR="00000000" w:rsidRPr="00000000">
        <w:rPr>
          <w:rtl w:val="0"/>
        </w:rPr>
      </w:r>
    </w:p>
    <w:p w:rsidR="00000000" w:rsidDel="00000000" w:rsidP="00000000" w:rsidRDefault="00000000" w:rsidRPr="00000000" w14:paraId="00000059">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структурувати основні операційні метрики компанії, наведемо їх у вигляді таблиці.</w:t>
      </w:r>
    </w:p>
    <w:p w:rsidR="00000000" w:rsidDel="00000000" w:rsidP="00000000" w:rsidRDefault="00000000" w:rsidRPr="00000000" w14:paraId="0000005A">
      <w:pPr>
        <w:widowControl w:val="0"/>
        <w:spacing w:after="240" w:before="240" w:line="36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Таблиця 1.1. Ключові операційні показники ТОВ «ГОУ АЙТІ ЕДЬЮКЕЙШН» (станом на 2024 р.)</w:t>
      </w:r>
    </w:p>
    <w:tbl>
      <w:tblPr>
        <w:tblStyle w:val="Table2"/>
        <w:tblW w:w="9705.0" w:type="dxa"/>
        <w:jc w:val="left"/>
        <w:tblInd w:w="28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425"/>
        <w:gridCol w:w="2655"/>
        <w:gridCol w:w="2625"/>
        <w:tblGridChange w:id="0">
          <w:tblGrid>
            <w:gridCol w:w="4425"/>
            <w:gridCol w:w="2655"/>
            <w:gridCol w:w="26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36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Показник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36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Значення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36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Джерело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Загальна кількість випускників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20 000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працевлаштованих випускників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6 000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120" w:before="12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компаній-партнерів </w:t>
              <w:br w:type="textWrapping"/>
              <w:t xml:space="preserve">(прямі угоди)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Загальна кількість компаній-роботодавців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2 100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співробітників </w:t>
              <w:br w:type="textWrapping"/>
              <w:t xml:space="preserve">(розмір компанії)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Залучені інвестиції </w:t>
              <w:br w:type="textWrapping"/>
              <w:t xml:space="preserve">(Раунд 2023 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120" w:before="12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 15 млн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tl w:val="0"/>
              </w:rPr>
            </w:r>
          </w:p>
        </w:tc>
      </w:tr>
    </w:tbl>
    <w:p w:rsidR="00000000" w:rsidDel="00000000" w:rsidP="00000000" w:rsidRDefault="00000000" w:rsidRPr="00000000" w14:paraId="00000070">
      <w:pPr>
        <w:pStyle w:val="Heading2"/>
        <w:keepNext w:val="0"/>
        <w:keepLines w:val="0"/>
        <w:widowControl w:val="0"/>
        <w:spacing w:after="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shepf36znolt" w:id="5"/>
      <w:bookmarkEnd w:id="5"/>
      <w:r w:rsidDel="00000000" w:rsidR="00000000" w:rsidRPr="00000000">
        <w:rPr>
          <w:rFonts w:ascii="Times New Roman" w:cs="Times New Roman" w:eastAsia="Times New Roman" w:hAnsi="Times New Roman"/>
          <w:b w:val="1"/>
          <w:bCs w:val="1"/>
          <w:sz w:val="28"/>
          <w:szCs w:val="28"/>
          <w:rtl w:val="0"/>
        </w:rPr>
        <w:t xml:space="preserve">1.3. Основні освітні продукти та сервіси</w:t>
      </w:r>
    </w:p>
    <w:p w:rsidR="00000000" w:rsidDel="00000000" w:rsidP="00000000" w:rsidRDefault="00000000" w:rsidRPr="00000000" w14:paraId="00000071">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Освітній портфель GoIT вирізняється різноманітністю й продуманою структурою – він створений так, щоб відповідати попиту на найзатребуваніші ІТ-професії, особливо серед початківців [22]. Аналіз ринку показує: найбільше студентів обирають програми з розробки (зокрема JavaScript), а також нетехнічні та суміжні спеціальності – тестування (QA) і дизайн (UI/UX) [21].</w:t>
      </w:r>
      <w:r w:rsidDel="00000000" w:rsidR="00000000" w:rsidRPr="00000000">
        <w:rPr>
          <w:rtl w:val="0"/>
        </w:rPr>
      </w:r>
    </w:p>
    <w:p w:rsidR="00000000" w:rsidDel="00000000" w:rsidP="00000000" w:rsidRDefault="00000000" w:rsidRPr="00000000" w14:paraId="00000072">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Основні навчальні програми компанії такі:</w:t>
      </w:r>
    </w:p>
    <w:p w:rsidR="00000000" w:rsidDel="00000000" w:rsidP="00000000" w:rsidRDefault="00000000" w:rsidRPr="00000000" w14:paraId="00000073">
      <w:pPr>
        <w:widowControl w:val="0"/>
        <w:numPr>
          <w:ilvl w:val="0"/>
          <w:numId w:val="7"/>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Full Stack / IT Bootcamp.</w:t>
      </w:r>
      <w:r w:rsidDel="00000000" w:rsidR="00000000" w:rsidRPr="00000000">
        <w:rPr>
          <w:rFonts w:ascii="Times New Roman" w:cs="Times New Roman" w:eastAsia="Times New Roman" w:hAnsi="Times New Roman"/>
          <w:sz w:val="28"/>
          <w:szCs w:val="28"/>
          <w:rtl w:val="0"/>
        </w:rPr>
        <w:t xml:space="preserve"> Цей напрям існує у двох форматах, щоб кожен міг обрати оптимальний для себе варіант.</w:t>
      </w:r>
    </w:p>
    <w:p w:rsidR="00000000" w:rsidDel="00000000" w:rsidP="00000000" w:rsidRDefault="00000000" w:rsidRPr="00000000" w14:paraId="00000074">
      <w:pPr>
        <w:widowControl w:val="0"/>
        <w:numPr>
          <w:ilvl w:val="0"/>
          <w:numId w:val="1"/>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Вечірній курс Full Stack + AI.</w:t>
      </w:r>
      <w:r w:rsidDel="00000000" w:rsidR="00000000" w:rsidRPr="00000000">
        <w:rPr>
          <w:rFonts w:ascii="Times New Roman" w:cs="Times New Roman" w:eastAsia="Times New Roman" w:hAnsi="Times New Roman"/>
          <w:sz w:val="28"/>
          <w:szCs w:val="28"/>
          <w:rtl w:val="0"/>
        </w:rPr>
        <w:t xml:space="preserve"> Триває 10 місяців [28]; дозволяє поєднувати навчання з основною роботою.</w:t>
      </w:r>
    </w:p>
    <w:p w:rsidR="00000000" w:rsidDel="00000000" w:rsidP="00000000" w:rsidRDefault="00000000" w:rsidRPr="00000000" w14:paraId="00000075">
      <w:pPr>
        <w:widowControl w:val="0"/>
        <w:numPr>
          <w:ilvl w:val="0"/>
          <w:numId w:val="1"/>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Інтенсивний Fullstack Bootcamp – це повне занурення у форматі full-time протягом шести місяців.</w:t>
        <w:br w:type="textWrapping"/>
        <w:t xml:space="preserve">Обидва формати готують до рівня Junior Fullstack Developer і охоплюють ключові технології: HTML, CSS, JavaScript, React і </w:t>
      </w:r>
      <w:hyperlink r:id="rId6">
        <w:r w:rsidDel="00000000" w:rsidR="00000000" w:rsidRPr="00000000">
          <w:rPr>
            <w:rFonts w:ascii="Times New Roman" w:cs="Times New Roman" w:eastAsia="Times New Roman" w:hAnsi="Times New Roman"/>
            <w:color w:val="1155cc"/>
            <w:sz w:val="28"/>
            <w:szCs w:val="28"/>
            <w:u w:val="single"/>
            <w:rtl w:val="0"/>
          </w:rPr>
          <w:t xml:space="preserve">Node.js</w:t>
        </w:r>
      </w:hyperlink>
      <w:r w:rsidDel="00000000" w:rsidR="00000000" w:rsidRPr="00000000">
        <w:rPr>
          <w:rFonts w:ascii="Times New Roman" w:cs="Times New Roman" w:eastAsia="Times New Roman" w:hAnsi="Times New Roman"/>
          <w:sz w:val="28"/>
          <w:szCs w:val="28"/>
          <w:rtl w:val="0"/>
        </w:rPr>
        <w:t xml:space="preserve">. Навчання максимально практичне й передбачає виконання семи повних проєктів для портфоліо [28].</w:t>
      </w:r>
      <w:r w:rsidDel="00000000" w:rsidR="00000000" w:rsidRPr="00000000">
        <w:rPr>
          <w:rtl w:val="0"/>
        </w:rPr>
      </w:r>
    </w:p>
    <w:p w:rsidR="00000000" w:rsidDel="00000000" w:rsidP="00000000" w:rsidRDefault="00000000" w:rsidRPr="00000000" w14:paraId="00000076">
      <w:pPr>
        <w:widowControl w:val="0"/>
        <w:numPr>
          <w:ilvl w:val="0"/>
          <w:numId w:val="4"/>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QA (Quality Assurance).</w:t>
      </w:r>
      <w:r w:rsidDel="00000000" w:rsidR="00000000" w:rsidRPr="00000000">
        <w:rPr>
          <w:rFonts w:ascii="Times New Roman" w:cs="Times New Roman" w:eastAsia="Times New Roman" w:hAnsi="Times New Roman"/>
          <w:sz w:val="28"/>
          <w:szCs w:val="28"/>
          <w:rtl w:val="0"/>
        </w:rPr>
        <w:t xml:space="preserve"> Експрес-програма триває три місяці. Її позиціонують як найкоротший шлях до ІТ для тих, хто хоче отримати технічну професію без глибоких знань програмування [32].</w:t>
      </w:r>
      <w:r w:rsidDel="00000000" w:rsidR="00000000" w:rsidRPr="00000000">
        <w:rPr>
          <w:rtl w:val="0"/>
        </w:rPr>
      </w:r>
    </w:p>
    <w:p w:rsidR="00000000" w:rsidDel="00000000" w:rsidP="00000000" w:rsidRDefault="00000000" w:rsidRPr="00000000" w14:paraId="00000077">
      <w:pPr>
        <w:widowControl w:val="0"/>
        <w:numPr>
          <w:ilvl w:val="0"/>
          <w:numId w:val="4"/>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Science / Data Analytics.</w:t>
      </w:r>
      <w:r w:rsidDel="00000000" w:rsidR="00000000" w:rsidRPr="00000000">
        <w:rPr>
          <w:rFonts w:ascii="Times New Roman" w:cs="Times New Roman" w:eastAsia="Times New Roman" w:hAnsi="Times New Roman"/>
          <w:sz w:val="28"/>
          <w:szCs w:val="28"/>
          <w:rtl w:val="0"/>
        </w:rPr>
        <w:t xml:space="preserve"> Програми тривалістю від п’яти до семи місяців, орієнтовані на навички збору, обробки й аналізу даних, з акцентом на Python [33].</w:t>
      </w:r>
      <w:r w:rsidDel="00000000" w:rsidR="00000000" w:rsidRPr="00000000">
        <w:rPr>
          <w:rtl w:val="0"/>
        </w:rPr>
      </w:r>
    </w:p>
    <w:p w:rsidR="00000000" w:rsidDel="00000000" w:rsidP="00000000" w:rsidRDefault="00000000" w:rsidRPr="00000000" w14:paraId="00000078">
      <w:pPr>
        <w:widowControl w:val="0"/>
        <w:numPr>
          <w:ilvl w:val="0"/>
          <w:numId w:val="4"/>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UI/UX Design.</w:t>
      </w:r>
      <w:r w:rsidDel="00000000" w:rsidR="00000000" w:rsidRPr="00000000">
        <w:rPr>
          <w:rFonts w:ascii="Times New Roman" w:cs="Times New Roman" w:eastAsia="Times New Roman" w:hAnsi="Times New Roman"/>
          <w:sz w:val="28"/>
          <w:szCs w:val="28"/>
          <w:rtl w:val="0"/>
        </w:rPr>
        <w:t xml:space="preserve"> Шестимісячна програма для дизайнерів інтерфейсів і користувацького досвіду [35].</w:t>
      </w:r>
      <w:r w:rsidDel="00000000" w:rsidR="00000000" w:rsidRPr="00000000">
        <w:rPr>
          <w:rFonts w:ascii="Times New Roman" w:cs="Times New Roman" w:eastAsia="Times New Roman" w:hAnsi="Times New Roman"/>
          <w:sz w:val="28"/>
          <w:szCs w:val="28"/>
          <w:vertAlign w:val="superscript"/>
          <w:rtl w:val="0"/>
        </w:rPr>
        <w:br w:type="textWrapping"/>
      </w:r>
      <w:r w:rsidDel="00000000" w:rsidR="00000000" w:rsidRPr="00000000">
        <w:rPr>
          <w:rFonts w:ascii="Times New Roman" w:cs="Times New Roman" w:eastAsia="Times New Roman" w:hAnsi="Times New Roman"/>
          <w:sz w:val="28"/>
          <w:szCs w:val="28"/>
          <w:rtl w:val="0"/>
        </w:rPr>
        <w:t xml:space="preserve">Вона вирізняється тим, що компанія швидко інтегрувала інструменти штучного інтелекту безпосередньо у навчальний процес. Програма має назву «UI/UX design із володінням АІ» [35]. Це була пряма реакція на технологічні зміни 2023-2024 років і зростання ролі генеративного ШІ. Замість того щоб ігнорувати ризики автоматизації, GoIT зробила ШІ робочим інструментом у навчанні (подібні модулі додані й до Fullstack-програм). Таким чином компанія відповідає запитам ринку [3], а випускники стають більш конкурентоспроможними.</w:t>
      </w:r>
    </w:p>
    <w:p w:rsidR="00000000" w:rsidDel="00000000" w:rsidP="00000000" w:rsidRDefault="00000000" w:rsidRPr="00000000" w14:paraId="00000079">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Tехнічну основу для навчання в GoIT створює </w:t>
      </w:r>
      <w:r w:rsidDel="00000000" w:rsidR="00000000" w:rsidRPr="00000000">
        <w:rPr>
          <w:rFonts w:ascii="Times New Roman" w:cs="Times New Roman" w:eastAsia="Times New Roman" w:hAnsi="Times New Roman"/>
          <w:b w:val="1"/>
          <w:bCs w:val="1"/>
          <w:sz w:val="28"/>
          <w:szCs w:val="28"/>
          <w:rtl w:val="0"/>
        </w:rPr>
        <w:t xml:space="preserve">власна навчальна платформа (Learning Management System, LMS) </w:t>
      </w:r>
      <w:r w:rsidDel="00000000" w:rsidR="00000000" w:rsidRPr="00000000">
        <w:rPr>
          <w:rFonts w:ascii="Times New Roman" w:cs="Times New Roman" w:eastAsia="Times New Roman" w:hAnsi="Times New Roman"/>
          <w:sz w:val="28"/>
          <w:szCs w:val="28"/>
          <w:rtl w:val="0"/>
        </w:rPr>
        <w:t xml:space="preserve">[36]</w:t>
      </w:r>
      <w:r w:rsidDel="00000000" w:rsidR="00000000" w:rsidRPr="00000000">
        <w:rPr>
          <w:rFonts w:ascii="Times New Roman" w:cs="Times New Roman" w:eastAsia="Times New Roman" w:hAnsi="Times New Roman"/>
          <w:sz w:val="28"/>
          <w:szCs w:val="28"/>
          <w:rtl w:val="0"/>
        </w:rPr>
        <w:t xml:space="preserve">. Інвестиції у розробку власної LMS замість використання типових сторонніх рішень перетворюють GoIT із простого освітнього провайдера на справжню EdTech-компанію. Власна платформа дає повний контроль над користувацьким досвідом (UX), дозволяє швидко додавати унікальні функції й створює цінний технологічний актив (IP).</w:t>
      </w:r>
    </w:p>
    <w:p w:rsidR="00000000" w:rsidDel="00000000" w:rsidP="00000000" w:rsidRDefault="00000000" w:rsidRPr="00000000" w14:paraId="0000007A">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У березні LMS GoIT презентували на міжнародній платформі Product Hunt для технологічних стартапів; вона здобула три нагороди [4]. Високі оцінки користувачів підтверджують ефективність архітектури платформи, її інтуїтивність та комплексний підхід до навчання [38].</w:t>
      </w:r>
      <w:r w:rsidDel="00000000" w:rsidR="00000000" w:rsidRPr="00000000">
        <w:rPr>
          <w:rtl w:val="0"/>
        </w:rPr>
      </w:r>
    </w:p>
    <w:p w:rsidR="00000000" w:rsidDel="00000000" w:rsidP="00000000" w:rsidRDefault="00000000" w:rsidRPr="00000000" w14:paraId="0000007B">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LMS GoIT має такі ключові функції:</w:t>
      </w:r>
    </w:p>
    <w:p w:rsidR="00000000" w:rsidDel="00000000" w:rsidP="00000000" w:rsidRDefault="00000000" w:rsidRPr="00000000" w14:paraId="0000007C">
      <w:pPr>
        <w:widowControl w:val="0"/>
        <w:numPr>
          <w:ilvl w:val="0"/>
          <w:numId w:val="19"/>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Централізований класрум (Classroom):</w:t>
      </w:r>
      <w:r w:rsidDel="00000000" w:rsidR="00000000" w:rsidRPr="00000000">
        <w:rPr>
          <w:rFonts w:ascii="Times New Roman" w:cs="Times New Roman" w:eastAsia="Times New Roman" w:hAnsi="Times New Roman"/>
          <w:sz w:val="28"/>
          <w:szCs w:val="28"/>
          <w:rtl w:val="0"/>
        </w:rPr>
        <w:t xml:space="preserve"> Єдине місце для всіх відеоуроків, конспектів і домашніх завдань; платформа підтримує навіть офлайн-доступ до матеріалів [36].</w:t>
      </w:r>
      <w:r w:rsidDel="00000000" w:rsidR="00000000" w:rsidRPr="00000000">
        <w:rPr>
          <w:rtl w:val="0"/>
        </w:rPr>
      </w:r>
    </w:p>
    <w:p w:rsidR="00000000" w:rsidDel="00000000" w:rsidP="00000000" w:rsidRDefault="00000000" w:rsidRPr="00000000" w14:paraId="0000007D">
      <w:pPr>
        <w:widowControl w:val="0"/>
        <w:numPr>
          <w:ilvl w:val="0"/>
          <w:numId w:val="19"/>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Cистема відстеження прогресу:</w:t>
      </w:r>
      <w:r w:rsidDel="00000000" w:rsidR="00000000" w:rsidRPr="00000000">
        <w:rPr>
          <w:rFonts w:ascii="Times New Roman" w:cs="Times New Roman" w:eastAsia="Times New Roman" w:hAnsi="Times New Roman"/>
          <w:sz w:val="28"/>
          <w:szCs w:val="28"/>
          <w:rtl w:val="0"/>
        </w:rPr>
        <w:t xml:space="preserve"> Спеціальна сторінка з дашбордами та віджетами візуалізує статистику навчання, витрачений час і прогрес у засвоєнні матеріалу – це додатково мотивує студентів [36].</w:t>
      </w:r>
      <w:r w:rsidDel="00000000" w:rsidR="00000000" w:rsidRPr="00000000">
        <w:rPr>
          <w:rtl w:val="0"/>
        </w:rPr>
      </w:r>
    </w:p>
    <w:p w:rsidR="00000000" w:rsidDel="00000000" w:rsidP="00000000" w:rsidRDefault="00000000" w:rsidRPr="00000000" w14:paraId="0000007E">
      <w:pPr>
        <w:widowControl w:val="0"/>
        <w:numPr>
          <w:ilvl w:val="0"/>
          <w:numId w:val="19"/>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Aвтоматизована перевірка завдань:</w:t>
      </w:r>
      <w:r w:rsidDel="00000000" w:rsidR="00000000" w:rsidRPr="00000000">
        <w:rPr>
          <w:rFonts w:ascii="Times New Roman" w:cs="Times New Roman" w:eastAsia="Times New Roman" w:hAnsi="Times New Roman"/>
          <w:sz w:val="28"/>
          <w:szCs w:val="28"/>
          <w:rtl w:val="0"/>
        </w:rPr>
        <w:t xml:space="preserve"> Вбудована функція автоматично перевіряє програмний код у домашніх завданнях; також є база з понад 10 тисяч додаткових вправ для тренування навичок [36].</w:t>
      </w:r>
      <w:r w:rsidDel="00000000" w:rsidR="00000000" w:rsidRPr="00000000">
        <w:rPr>
          <w:rtl w:val="0"/>
        </w:rPr>
      </w:r>
    </w:p>
    <w:p w:rsidR="00000000" w:rsidDel="00000000" w:rsidP="00000000" w:rsidRDefault="00000000" w:rsidRPr="00000000" w14:paraId="0000007F">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Bажливо підкреслити: цінність GoIT не обмежується технологічною платформою. Вона ґрунтується на цілісній </w:t>
      </w:r>
      <w:r w:rsidDel="00000000" w:rsidR="00000000" w:rsidRPr="00000000">
        <w:rPr>
          <w:rFonts w:ascii="Times New Roman" w:cs="Times New Roman" w:eastAsia="Times New Roman" w:hAnsi="Times New Roman"/>
          <w:b w:val="1"/>
          <w:bCs w:val="1"/>
          <w:sz w:val="28"/>
          <w:szCs w:val="28"/>
          <w:rtl w:val="0"/>
        </w:rPr>
        <w:t xml:space="preserve">екосистемі підтримки студентів</w:t>
      </w:r>
      <w:r w:rsidDel="00000000" w:rsidR="00000000" w:rsidRPr="00000000">
        <w:rPr>
          <w:rFonts w:ascii="Times New Roman" w:cs="Times New Roman" w:eastAsia="Times New Roman" w:hAnsi="Times New Roman"/>
          <w:sz w:val="28"/>
          <w:szCs w:val="28"/>
          <w:rtl w:val="0"/>
        </w:rPr>
        <w:t xml:space="preserve">, яка супроводжує їх на всіх етапах навчання.</w:t>
      </w:r>
    </w:p>
    <w:p w:rsidR="00000000" w:rsidDel="00000000" w:rsidP="00000000" w:rsidRDefault="00000000" w:rsidRPr="00000000" w14:paraId="00000080">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Mенторська підтримка – один із ключових компонентів. Кожен студент отримує супровід ментора – досвідченого ІТ-фахівця – протягом усього навчального шляху [36]. Відгуки випускників свідчать: саме ця підтримка є однією з головних переваг компанії. Студенти часто відзначають «постійну допомогу менторів і викладачів», «зворотний зв'язок на кожному етапі», а також те, що мають «живу підтримку менторів, а не лише відеоуроки» [40].</w:t>
      </w:r>
      <w:r w:rsidDel="00000000" w:rsidR="00000000" w:rsidRPr="00000000">
        <w:rPr>
          <w:rtl w:val="0"/>
        </w:rPr>
      </w:r>
    </w:p>
    <w:p w:rsidR="00000000" w:rsidDel="00000000" w:rsidP="00000000" w:rsidRDefault="00000000" w:rsidRPr="00000000" w14:paraId="00000081">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Cлід також згадати </w:t>
      </w:r>
      <w:r w:rsidDel="00000000" w:rsidR="00000000" w:rsidRPr="00000000">
        <w:rPr>
          <w:rFonts w:ascii="Times New Roman" w:cs="Times New Roman" w:eastAsia="Times New Roman" w:hAnsi="Times New Roman"/>
          <w:b w:val="1"/>
          <w:bCs w:val="1"/>
          <w:sz w:val="28"/>
          <w:szCs w:val="28"/>
          <w:rtl w:val="0"/>
        </w:rPr>
        <w:t xml:space="preserve">Kар'єрний центр.</w:t>
      </w:r>
      <w:r w:rsidDel="00000000" w:rsidR="00000000" w:rsidRPr="00000000">
        <w:rPr>
          <w:rFonts w:ascii="Times New Roman" w:cs="Times New Roman" w:eastAsia="Times New Roman" w:hAnsi="Times New Roman"/>
          <w:sz w:val="28"/>
          <w:szCs w:val="28"/>
          <w:rtl w:val="0"/>
        </w:rPr>
        <w:t xml:space="preserve"> GoIT допомагає студентам підготуватися до виходу на ринок праці: формування портфоліо на основі виконаних проєктів [40], консультації щодо складання резюме й профілю LinkedIn, тренування й воркшопи з проходження технічних і HR-співбесід [40].</w:t>
      </w:r>
      <w:r w:rsidDel="00000000" w:rsidR="00000000" w:rsidRPr="00000000">
        <w:rPr>
          <w:rtl w:val="0"/>
        </w:rPr>
      </w:r>
    </w:p>
    <w:p w:rsidR="00000000" w:rsidDel="00000000" w:rsidP="00000000" w:rsidRDefault="00000000" w:rsidRPr="00000000" w14:paraId="00000082">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Cтатистика працевлаштування випускників підтверджує ефективність цієї екосистеми. За даними компанії за 2024 рік – 1598 випускників вже розпочали кар'єру в ІТ [41].</w:t>
      </w:r>
      <w:r w:rsidDel="00000000" w:rsidR="00000000" w:rsidRPr="00000000">
        <w:rPr>
          <w:rtl w:val="0"/>
        </w:rPr>
      </w:r>
    </w:p>
    <w:p w:rsidR="00000000" w:rsidDel="00000000" w:rsidP="00000000" w:rsidRDefault="00000000" w:rsidRPr="00000000" w14:paraId="00000083">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Kомпанія демонструє високий рівень прозорості: регулярно публікуються детальні дані про процес пошуку роботи. Це дозволяє студентам реально оцінювати свої шанси й управляти очікуваннями.</w:t>
      </w:r>
    </w:p>
    <w:p w:rsidR="00000000" w:rsidDel="00000000" w:rsidP="00000000" w:rsidRDefault="00000000" w:rsidRPr="00000000" w14:paraId="00000084">
      <w:pPr>
        <w:widowControl w:val="0"/>
        <w:numPr>
          <w:ilvl w:val="0"/>
          <w:numId w:val="2"/>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Cередній час пошуку роботи:</w:t>
      </w:r>
      <w:r w:rsidDel="00000000" w:rsidR="00000000" w:rsidRPr="00000000">
        <w:rPr>
          <w:rFonts w:ascii="Times New Roman" w:cs="Times New Roman" w:eastAsia="Times New Roman" w:hAnsi="Times New Roman"/>
          <w:sz w:val="28"/>
          <w:szCs w:val="28"/>
          <w:rtl w:val="0"/>
        </w:rPr>
        <w:t xml:space="preserve"> Для більшості напрямків це 2,5 місяці; для випускників FullStack – до чотирьох місяців [41].</w:t>
      </w:r>
      <w:r w:rsidDel="00000000" w:rsidR="00000000" w:rsidRPr="00000000">
        <w:rPr>
          <w:rtl w:val="0"/>
        </w:rPr>
      </w:r>
    </w:p>
    <w:p w:rsidR="00000000" w:rsidDel="00000000" w:rsidP="00000000" w:rsidRDefault="00000000" w:rsidRPr="00000000" w14:paraId="00000085">
      <w:pPr>
        <w:widowControl w:val="0"/>
        <w:numPr>
          <w:ilvl w:val="0"/>
          <w:numId w:val="2"/>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Kількість відгуків:</w:t>
      </w:r>
      <w:r w:rsidDel="00000000" w:rsidR="00000000" w:rsidRPr="00000000">
        <w:rPr>
          <w:rFonts w:ascii="Times New Roman" w:cs="Times New Roman" w:eastAsia="Times New Roman" w:hAnsi="Times New Roman"/>
          <w:sz w:val="28"/>
          <w:szCs w:val="28"/>
          <w:rtl w:val="0"/>
        </w:rPr>
        <w:t xml:space="preserve"> Щоб отримати пропозицію про роботу (офер), випускник у середньому має подати 57 заявок [41].</w:t>
      </w:r>
      <w:r w:rsidDel="00000000" w:rsidR="00000000" w:rsidRPr="00000000">
        <w:rPr>
          <w:rtl w:val="0"/>
        </w:rPr>
      </w:r>
    </w:p>
    <w:p w:rsidR="00000000" w:rsidDel="00000000" w:rsidP="00000000" w:rsidRDefault="00000000" w:rsidRPr="00000000" w14:paraId="00000086">
      <w:pPr>
        <w:widowControl w:val="0"/>
        <w:numPr>
          <w:ilvl w:val="0"/>
          <w:numId w:val="2"/>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Eтапи відбору:</w:t>
      </w:r>
      <w:r w:rsidDel="00000000" w:rsidR="00000000" w:rsidRPr="00000000">
        <w:rPr>
          <w:rFonts w:ascii="Times New Roman" w:cs="Times New Roman" w:eastAsia="Times New Roman" w:hAnsi="Times New Roman"/>
          <w:sz w:val="28"/>
          <w:szCs w:val="28"/>
          <w:rtl w:val="0"/>
        </w:rPr>
        <w:t xml:space="preserve"> Більшість працевлаштованих (71,2%) проходять до п’яти співбесід перед отриманням оферу [41].</w:t>
      </w:r>
      <w:r w:rsidDel="00000000" w:rsidR="00000000" w:rsidRPr="00000000">
        <w:rPr>
          <w:rtl w:val="0"/>
        </w:rPr>
      </w:r>
    </w:p>
    <w:p w:rsidR="00000000" w:rsidDel="00000000" w:rsidP="00000000" w:rsidRDefault="00000000" w:rsidRPr="00000000" w14:paraId="00000087">
      <w:pPr>
        <w:widowControl w:val="0"/>
        <w:numPr>
          <w:ilvl w:val="0"/>
          <w:numId w:val="2"/>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Nайефективніші канали пошуку:</w:t>
      </w:r>
      <w:r w:rsidDel="00000000" w:rsidR="00000000" w:rsidRPr="00000000">
        <w:rPr>
          <w:rFonts w:ascii="Times New Roman" w:cs="Times New Roman" w:eastAsia="Times New Roman" w:hAnsi="Times New Roman"/>
          <w:sz w:val="28"/>
          <w:szCs w:val="28"/>
          <w:rtl w:val="0"/>
        </w:rPr>
        <w:t xml:space="preserve"> Особисті рекомендації (20% працевлаштованих), LinkedIn (16,9%) та Djinni (16,6%) [41].</w:t>
      </w:r>
      <w:r w:rsidDel="00000000" w:rsidR="00000000" w:rsidRPr="00000000">
        <w:rPr>
          <w:rtl w:val="0"/>
        </w:rPr>
      </w:r>
    </w:p>
    <w:p w:rsidR="00000000" w:rsidDel="00000000" w:rsidP="00000000" w:rsidRDefault="00000000" w:rsidRPr="00000000" w14:paraId="00000088">
      <w:pPr>
        <w:widowControl w:val="0"/>
        <w:spacing w:after="240" w:before="240" w:line="360" w:lineRule="auto"/>
        <w:ind w:left="283.46456692913375" w:right="-844.7244094488178" w:firstLine="0"/>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Bідкрита публікація таких реалістичних цифр (2,5–4 місяці пошуку роботи, 57 відгуків [41]) – це дорослий і неочікуваний крок у маркетинговій стратегії. На фоні численних обіцянок швидкого працевлаштування GoIT чесно говорить: пошук першої ІТ-роботи – процес тривалий і складний. Така прозорість не лише відсіює немотивованих студентів; вона також зміщує акцент цінності бренду з «гарантії швидкого результату» на «гарантію комплексної підтримки» [8], що підсилює довіру до компанії.</w:t>
      </w:r>
      <w:r w:rsidDel="00000000" w:rsidR="00000000" w:rsidRPr="00000000">
        <w:rPr>
          <w:rtl w:val="0"/>
        </w:rPr>
      </w:r>
    </w:p>
    <w:p w:rsidR="00000000" w:rsidDel="00000000" w:rsidP="00000000" w:rsidRDefault="00000000" w:rsidRPr="00000000" w14:paraId="00000089">
      <w:pPr>
        <w:pStyle w:val="Heading2"/>
        <w:keepNext w:val="0"/>
        <w:keepLines w:val="0"/>
        <w:widowControl w:val="0"/>
        <w:spacing w:after="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neh3wtbjrzzz" w:id="6"/>
      <w:bookmarkEnd w:id="6"/>
      <w:r w:rsidDel="00000000" w:rsidR="00000000" w:rsidRPr="00000000">
        <w:rPr>
          <w:rFonts w:ascii="Times New Roman" w:cs="Times New Roman" w:eastAsia="Times New Roman" w:hAnsi="Times New Roman"/>
          <w:b w:val="1"/>
          <w:bCs w:val="1"/>
          <w:sz w:val="28"/>
          <w:szCs w:val="28"/>
          <w:rtl w:val="0"/>
        </w:rPr>
        <w:t xml:space="preserve">1.4. Роль GoIT на ринку ІТ-освіти України</w:t>
      </w:r>
    </w:p>
    <w:p w:rsidR="00000000" w:rsidDel="00000000" w:rsidP="00000000" w:rsidRDefault="00000000" w:rsidRPr="00000000" w14:paraId="0000008A">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ТОВ «ГОУ АЙТІ ЕДЬЮКЕЙШН» впевнено утримує позицію одного з лідерів на динамічному ринку неформальної ІТ-освіти (EdTech) в Україні. Компанія активно змагається з іншими потужними освітніми платформами, серед яких Комп'ютерна школа Hillel та IT Step Academy [42].</w:t>
      </w:r>
      <w:r w:rsidDel="00000000" w:rsidR="00000000" w:rsidRPr="00000000">
        <w:rPr>
          <w:rtl w:val="0"/>
        </w:rPr>
      </w:r>
    </w:p>
    <w:p w:rsidR="00000000" w:rsidDel="00000000" w:rsidP="00000000" w:rsidRDefault="00000000" w:rsidRPr="00000000" w14:paraId="0000008B">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GoIT зміцнює свої позиції завдяки участі у державних і партнерських проєктах. Наприклад, компанія стала визнаним лідером за кількістю випускників, які знайшли роботу через масштабну державну програму IT Generation, що реалізується за підтримки Міністерства цифрової трансформації України [8].</w:t>
      </w:r>
      <w:r w:rsidDel="00000000" w:rsidR="00000000" w:rsidRPr="00000000">
        <w:rPr>
          <w:rtl w:val="0"/>
        </w:rPr>
      </w:r>
    </w:p>
    <w:p w:rsidR="00000000" w:rsidDel="00000000" w:rsidP="00000000" w:rsidRDefault="00000000" w:rsidRPr="00000000" w14:paraId="0000008C">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звернутися до аналізу діяльності GoIT і відгуків студентів, можна виокремити кілька основних переваг, які формують її ринкову стійкість.</w:t>
      </w:r>
    </w:p>
    <w:p w:rsidR="00000000" w:rsidDel="00000000" w:rsidP="00000000" w:rsidRDefault="00000000" w:rsidRPr="00000000" w14:paraId="0000008D">
      <w:pPr>
        <w:widowControl w:val="0"/>
        <w:numPr>
          <w:ilvl w:val="0"/>
          <w:numId w:val="15"/>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Чіткий акцент на практичній підготовці.</w:t>
      </w:r>
      <w:r w:rsidDel="00000000" w:rsidR="00000000" w:rsidRPr="00000000">
        <w:rPr>
          <w:rFonts w:ascii="Times New Roman" w:cs="Times New Roman" w:eastAsia="Times New Roman" w:hAnsi="Times New Roman"/>
          <w:sz w:val="28"/>
          <w:szCs w:val="28"/>
          <w:rtl w:val="0"/>
        </w:rPr>
        <w:t xml:space="preserve"> Студенти неодноразово наголошують на цьому аспекті. Навчання організовано навколо реальних кейсів, а не лише теорії. Завдяки такому підходу студенти ще під час навчання створюють повноцінне портфоліо з декількох проєктів [40] — саме це часто стає вирішальним аргументом для роботодавців при пошуку junior-спеціалістів.</w:t>
      </w:r>
    </w:p>
    <w:p w:rsidR="00000000" w:rsidDel="00000000" w:rsidP="00000000" w:rsidRDefault="00000000" w:rsidRPr="00000000" w14:paraId="0000008E">
      <w:pPr>
        <w:widowControl w:val="0"/>
        <w:numPr>
          <w:ilvl w:val="0"/>
          <w:numId w:val="15"/>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Розгалужена система підтримки.</w:t>
      </w:r>
      <w:r w:rsidDel="00000000" w:rsidR="00000000" w:rsidRPr="00000000">
        <w:rPr>
          <w:rFonts w:ascii="Times New Roman" w:cs="Times New Roman" w:eastAsia="Times New Roman" w:hAnsi="Times New Roman"/>
          <w:sz w:val="28"/>
          <w:szCs w:val="28"/>
          <w:rtl w:val="0"/>
        </w:rPr>
        <w:t xml:space="preserve"> GoIT пропонує не просто освітній контент, а повний цикл послуг «під ключ». Її перевага не стільки у винятковості самих курсів (основні технології, як-от HTML, JavaScript, React, є стандартом у всіх провідних конкурентів [10; 42]), а у якості та масштабованості підтримки. Компанія побудувала систему, в якій технології (власна LMS, автоматизована перевірка коду [36]) поєднуються з інтенсивною людською взаємодією (“high-touch” support). До складу цієї екосистеми входять:</w:t>
      </w:r>
    </w:p>
    <w:p w:rsidR="00000000" w:rsidDel="00000000" w:rsidP="00000000" w:rsidRDefault="00000000" w:rsidRPr="00000000" w14:paraId="0000008F">
      <w:pPr>
        <w:widowControl w:val="0"/>
        <w:numPr>
          <w:ilvl w:val="0"/>
          <w:numId w:val="8"/>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Технологічна платформа (LMS);</w:t>
      </w:r>
    </w:p>
    <w:p w:rsidR="00000000" w:rsidDel="00000000" w:rsidP="00000000" w:rsidRDefault="00000000" w:rsidRPr="00000000" w14:paraId="00000090">
      <w:pPr>
        <w:widowControl w:val="0"/>
        <w:numPr>
          <w:ilvl w:val="0"/>
          <w:numId w:val="8"/>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Постійний менторський супровід;</w:t>
      </w:r>
    </w:p>
    <w:p w:rsidR="00000000" w:rsidDel="00000000" w:rsidP="00000000" w:rsidRDefault="00000000" w:rsidRPr="00000000" w14:paraId="00000091">
      <w:pPr>
        <w:widowControl w:val="0"/>
        <w:numPr>
          <w:ilvl w:val="0"/>
          <w:numId w:val="8"/>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Обов’язкові модулі розвитку комунікативних і командних навичок (Soft Skills);</w:t>
      </w:r>
    </w:p>
    <w:p w:rsidR="00000000" w:rsidDel="00000000" w:rsidP="00000000" w:rsidRDefault="00000000" w:rsidRPr="00000000" w14:paraId="00000092">
      <w:pPr>
        <w:widowControl w:val="0"/>
        <w:numPr>
          <w:ilvl w:val="0"/>
          <w:numId w:val="8"/>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Кар'єрний центр із програмами гарантії працевлаштування.</w:t>
      </w:r>
      <w:r w:rsidDel="00000000" w:rsidR="00000000" w:rsidRPr="00000000">
        <w:rPr>
          <w:rFonts w:ascii="Times New Roman" w:cs="Times New Roman" w:eastAsia="Times New Roman" w:hAnsi="Times New Roman"/>
          <w:sz w:val="28"/>
          <w:szCs w:val="28"/>
          <w:vertAlign w:val="superscript"/>
          <w:rtl w:val="0"/>
        </w:rPr>
        <w:br w:type="textWrapping"/>
      </w:r>
      <w:r w:rsidDel="00000000" w:rsidR="00000000" w:rsidRPr="00000000">
        <w:rPr>
          <w:rFonts w:ascii="Times New Roman" w:cs="Times New Roman" w:eastAsia="Times New Roman" w:hAnsi="Times New Roman"/>
          <w:sz w:val="28"/>
          <w:szCs w:val="28"/>
          <w:rtl w:val="0"/>
        </w:rPr>
        <w:t xml:space="preserve">Таким чином, GoIT пропонує не просто знання, а структурований і підтримуючий шлях до кар’єрної цілі.</w:t>
      </w:r>
    </w:p>
    <w:p w:rsidR="00000000" w:rsidDel="00000000" w:rsidP="00000000" w:rsidRDefault="00000000" w:rsidRPr="00000000" w14:paraId="00000093">
      <w:pPr>
        <w:widowControl w:val="0"/>
        <w:numPr>
          <w:ilvl w:val="0"/>
          <w:numId w:val="14"/>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Швидка адаптація до змін ринку.</w:t>
      </w:r>
      <w:r w:rsidDel="00000000" w:rsidR="00000000" w:rsidRPr="00000000">
        <w:rPr>
          <w:rFonts w:ascii="Times New Roman" w:cs="Times New Roman" w:eastAsia="Times New Roman" w:hAnsi="Times New Roman"/>
          <w:sz w:val="28"/>
          <w:szCs w:val="28"/>
          <w:rtl w:val="0"/>
        </w:rPr>
        <w:t xml:space="preserve"> Компанія демонструє здатність оперативно реагувати на нові технологічні тенденції. Яскравий приклад — швидке впровадження модулів зі штучного інтелекту у флагманські курси.</w:t>
      </w:r>
      <w:r w:rsidDel="00000000" w:rsidR="00000000" w:rsidRPr="00000000">
        <w:rPr>
          <w:rtl w:val="0"/>
        </w:rPr>
      </w:r>
    </w:p>
    <w:p w:rsidR="00000000" w:rsidDel="00000000" w:rsidP="00000000" w:rsidRDefault="00000000" w:rsidRPr="00000000" w14:paraId="00000094">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Попри сильні позиції на ринку, GoIT у своїй стратегії стикається з низкою важливих викликів і ризиків.</w:t>
      </w:r>
    </w:p>
    <w:p w:rsidR="00000000" w:rsidDel="00000000" w:rsidP="00000000" w:rsidRDefault="00000000" w:rsidRPr="00000000" w14:paraId="00000095">
      <w:pPr>
        <w:widowControl w:val="0"/>
        <w:numPr>
          <w:ilvl w:val="0"/>
          <w:numId w:val="28"/>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Висока конкуренція та насичення ринку.</w:t>
      </w:r>
      <w:r w:rsidDel="00000000" w:rsidR="00000000" w:rsidRPr="00000000">
        <w:rPr>
          <w:rFonts w:ascii="Times New Roman" w:cs="Times New Roman" w:eastAsia="Times New Roman" w:hAnsi="Times New Roman"/>
          <w:sz w:val="28"/>
          <w:szCs w:val="28"/>
          <w:rtl w:val="0"/>
        </w:rPr>
        <w:t xml:space="preserve"> Український ринок ІТ-освіти надзвичайно насичений. Це створює постійний тиск на вартість залучення нових студентів (Customer Acquisition Cost) і змушує компанію постійно інвестувати у маркетинг та розвиток бренду.</w:t>
      </w:r>
    </w:p>
    <w:p w:rsidR="00000000" w:rsidDel="00000000" w:rsidP="00000000" w:rsidRDefault="00000000" w:rsidRPr="00000000" w14:paraId="00000096">
      <w:pPr>
        <w:widowControl w:val="0"/>
        <w:numPr>
          <w:ilvl w:val="0"/>
          <w:numId w:val="28"/>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Проблема «перегріву» серед junior-спеціалістів.</w:t>
      </w:r>
      <w:r w:rsidDel="00000000" w:rsidR="00000000" w:rsidRPr="00000000">
        <w:rPr>
          <w:rFonts w:ascii="Times New Roman" w:cs="Times New Roman" w:eastAsia="Times New Roman" w:hAnsi="Times New Roman"/>
          <w:sz w:val="28"/>
          <w:szCs w:val="28"/>
          <w:rtl w:val="0"/>
        </w:rPr>
        <w:t xml:space="preserve"> Це один із найсерйозніших стратегічних викликів для GoIT. Як один із найбільших гравців, компанія щороку випускає на ринок тисячі нових фахівців. Через це виникає своєрідний парадокс: чим успішніше працює компанія, тим більше насичується ринок початківцями, а це ускладнює працевлаштування навіть власних випускників. Статистика свідчить: у середньому потрібно 57 відгуків на вакансії, щоб отримати одну пропозицію про роботу [41]. У відповідь на цю ситуацію компанія вдається до диверсифікації — наприклад, запускає Neoversity. Переходячи до сегменту вищої освіти (бакалаврат та магістратура), GoIT прагне підготувати фахівців із глибшими знаннями й формальною кваліфікацією порівняно з випускниками короткострокових курсів.</w:t>
      </w:r>
    </w:p>
    <w:p w:rsidR="00000000" w:rsidDel="00000000" w:rsidP="00000000" w:rsidRDefault="00000000" w:rsidRPr="00000000" w14:paraId="00000097">
      <w:pPr>
        <w:widowControl w:val="0"/>
        <w:numPr>
          <w:ilvl w:val="0"/>
          <w:numId w:val="28"/>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Залежність від макроекономічної ситуації.</w:t>
      </w:r>
      <w:r w:rsidDel="00000000" w:rsidR="00000000" w:rsidRPr="00000000">
        <w:rPr>
          <w:rFonts w:ascii="Times New Roman" w:cs="Times New Roman" w:eastAsia="Times New Roman" w:hAnsi="Times New Roman"/>
          <w:sz w:val="28"/>
          <w:szCs w:val="28"/>
          <w:rtl w:val="0"/>
        </w:rPr>
        <w:t xml:space="preserve"> Досвід призупинення роботи в Латинській Америці чітко показав: бізнес-модель GoIT, яка базується на продажу дорогих освітніх продуктів, вразлива до змін купівельної спроможності населення й доступності кредитування.</w:t>
      </w:r>
    </w:p>
    <w:p w:rsidR="00000000" w:rsidDel="00000000" w:rsidP="00000000" w:rsidRDefault="00000000" w:rsidRPr="00000000" w14:paraId="00000098">
      <w:pPr>
        <w:widowControl w:val="0"/>
        <w:numPr>
          <w:ilvl w:val="0"/>
          <w:numId w:val="28"/>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Технологічний ризик (ШІ).</w:t>
      </w:r>
      <w:r w:rsidDel="00000000" w:rsidR="00000000" w:rsidRPr="00000000">
        <w:rPr>
          <w:rFonts w:ascii="Times New Roman" w:cs="Times New Roman" w:eastAsia="Times New Roman" w:hAnsi="Times New Roman"/>
          <w:sz w:val="28"/>
          <w:szCs w:val="28"/>
          <w:rtl w:val="0"/>
        </w:rPr>
        <w:t xml:space="preserve"> Хоча компанія швидко впроваджує нові рішення, залишається ризик: розвиток штучного інтелекту може не лише допомагати, а й частково автоматизувати функції junior-спеціалістів. Це може зменшити попит на базові освітні продукти початкового рівня.</w:t>
      </w:r>
    </w:p>
    <w:p w:rsidR="00000000" w:rsidDel="00000000" w:rsidP="00000000" w:rsidRDefault="00000000" w:rsidRPr="00000000" w14:paraId="00000099">
      <w:pPr>
        <w:pStyle w:val="Heading2"/>
        <w:keepNext w:val="0"/>
        <w:keepLines w:val="0"/>
        <w:widowControl w:val="0"/>
        <w:spacing w:after="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5wqpr2hbvczr" w:id="7"/>
      <w:bookmarkEnd w:id="7"/>
      <w:r w:rsidDel="00000000" w:rsidR="00000000" w:rsidRPr="00000000">
        <w:rPr>
          <w:rFonts w:ascii="Times New Roman" w:cs="Times New Roman" w:eastAsia="Times New Roman" w:hAnsi="Times New Roman"/>
          <w:b w:val="1"/>
          <w:bCs w:val="1"/>
          <w:sz w:val="28"/>
          <w:szCs w:val="28"/>
          <w:rtl w:val="0"/>
        </w:rPr>
        <w:t xml:space="preserve">1.5. Зв'язок бази практики з темою звіту</w:t>
      </w:r>
    </w:p>
    <w:p w:rsidR="00000000" w:rsidDel="00000000" w:rsidP="00000000" w:rsidRDefault="00000000" w:rsidRPr="00000000" w14:paraId="0000009A">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Стажування на базі ТОВ «ГОУ АЙТІ ЕДЬЮКЕЙШН» дало змогу отримати унікальний практичний і аналітичний досвід для дослідження гейміфікації та мотиваційного дизайну в сучасних освітніх системах.</w:t>
      </w:r>
    </w:p>
    <w:p w:rsidR="00000000" w:rsidDel="00000000" w:rsidP="00000000" w:rsidRDefault="00000000" w:rsidRPr="00000000" w14:paraId="0000009B">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Ця організація є особливо релевантною для такого аналізу. GoIT, як провідна EdTech-компанія, використовує власну високотехнологічну LMS-платформу, яка отримала високу оцінку на міжнародному ресурсі Product Hunt [4].</w:t>
      </w:r>
      <w:r w:rsidDel="00000000" w:rsidR="00000000" w:rsidRPr="00000000">
        <w:rPr>
          <w:rtl w:val="0"/>
        </w:rPr>
      </w:r>
    </w:p>
    <w:p w:rsidR="00000000" w:rsidDel="00000000" w:rsidP="00000000" w:rsidRDefault="00000000" w:rsidRPr="00000000" w14:paraId="0000009C">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Детальний розгляд функціоналу цієї платформи показав: тут свідомо інтегровані елементи мотиваційного дизайну, які виходять далеко за межі стандартних освітніх інструментів. Платформа пропонує не лише базові мотиваційні інструменти — наприклад, дашборди для відстеження особистого прогресу студентів [36]. Вона також містить продумані механізми гейміфікації.</w:t>
      </w:r>
    </w:p>
    <w:p w:rsidR="00000000" w:rsidDel="00000000" w:rsidP="00000000" w:rsidRDefault="00000000" w:rsidRPr="00000000" w14:paraId="0000009D">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Яскравий приклад — функція </w:t>
      </w:r>
      <w:r w:rsidDel="00000000" w:rsidR="00000000" w:rsidRPr="00000000">
        <w:rPr>
          <w:rFonts w:ascii="Times New Roman" w:cs="Times New Roman" w:eastAsia="Times New Roman" w:hAnsi="Times New Roman"/>
          <w:b w:val="1"/>
          <w:bCs w:val="1"/>
          <w:sz w:val="28"/>
          <w:szCs w:val="28"/>
          <w:rtl w:val="0"/>
        </w:rPr>
        <w:t xml:space="preserve">«Дуелі та турніри» </w:t>
      </w:r>
      <w:r w:rsidDel="00000000" w:rsidR="00000000" w:rsidRPr="00000000">
        <w:rPr>
          <w:rFonts w:ascii="Times New Roman" w:cs="Times New Roman" w:eastAsia="Times New Roman" w:hAnsi="Times New Roman"/>
          <w:sz w:val="28"/>
          <w:szCs w:val="28"/>
          <w:rtl w:val="0"/>
        </w:rPr>
        <w:t xml:space="preserve">[36]</w:t>
      </w:r>
      <w:r w:rsidDel="00000000" w:rsidR="00000000" w:rsidRPr="00000000">
        <w:rPr>
          <w:rFonts w:ascii="Times New Roman" w:cs="Times New Roman" w:eastAsia="Times New Roman" w:hAnsi="Times New Roman"/>
          <w:sz w:val="28"/>
          <w:szCs w:val="28"/>
          <w:rtl w:val="0"/>
        </w:rPr>
        <w:t xml:space="preserve">. Завдяки їй студенти можуть змагатися між собою — як індивідуально (дуелі), так і в командах (турніри), виконуючи практичні завдання та відповідаючи на теоретичні питання в реальному часі.</w:t>
      </w:r>
      <w:r w:rsidDel="00000000" w:rsidR="00000000" w:rsidRPr="00000000">
        <w:rPr>
          <w:rtl w:val="0"/>
        </w:rPr>
      </w:r>
    </w:p>
    <w:p w:rsidR="00000000" w:rsidDel="00000000" w:rsidP="00000000" w:rsidRDefault="00000000" w:rsidRPr="00000000" w14:paraId="0000009E">
      <w:pPr>
        <w:widowControl w:val="0"/>
        <w:spacing w:after="240" w:before="240" w:line="360" w:lineRule="auto"/>
        <w:ind w:left="283.46456692913375" w:right="-844.7244094488178" w:firstLine="0"/>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Варто підкреслити: ефективність цього підходу підтверджують не лише внутрішні аналітики компанії, а й зовнішні незалежні оцінки. У відгуках користувачів на Product Hunt «gamification features» згадуються 21 раз, а «duels feature» — 12 разів; ці функції визначають як ключові переваги платформи, що роблять навчання цікавішим і продуктивнішим [38].</w:t>
      </w:r>
      <w:r w:rsidDel="00000000" w:rsidR="00000000" w:rsidRPr="00000000">
        <w:rPr>
          <w:rtl w:val="0"/>
        </w:rPr>
      </w:r>
    </w:p>
    <w:p w:rsidR="00000000" w:rsidDel="00000000" w:rsidP="00000000" w:rsidRDefault="00000000" w:rsidRPr="00000000" w14:paraId="0000009F">
      <w:pPr>
        <w:widowControl w:val="0"/>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практика в GoIT дозволила побачити не теоретичні моделі, а реальні масштабовані рішення гейміфікації, які вже отримали позитивну оцінку користувачів. Це дало можливість дослідити, як саме мотиваційний дизайн підвищує залученість і внутрішню мотивацію студентів у цифровому освітньому середовищі — і повністю відповідає завданням цього дослідження.</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keepNext w:val="0"/>
        <w:keepLines w:val="0"/>
        <w:spacing w:before="480" w:line="360" w:lineRule="auto"/>
        <w:ind w:left="283.46456692913375" w:right="-844.7244094488178" w:firstLine="0"/>
        <w:jc w:val="center"/>
        <w:rPr>
          <w:rFonts w:ascii="Times New Roman" w:cs="Times New Roman" w:eastAsia="Times New Roman" w:hAnsi="Times New Roman"/>
          <w:b w:val="1"/>
          <w:bCs w:val="1"/>
          <w:sz w:val="28"/>
          <w:szCs w:val="28"/>
        </w:rPr>
      </w:pPr>
      <w:bookmarkStart w:colFirst="0" w:colLast="0" w:name="_vlc5bb1l4fef" w:id="8"/>
      <w:bookmarkEnd w:id="8"/>
      <w:r w:rsidDel="00000000" w:rsidR="00000000" w:rsidRPr="00000000">
        <w:rPr>
          <w:rFonts w:ascii="Times New Roman" w:cs="Times New Roman" w:eastAsia="Times New Roman" w:hAnsi="Times New Roman"/>
          <w:b w:val="1"/>
          <w:bCs w:val="1"/>
          <w:sz w:val="28"/>
          <w:szCs w:val="28"/>
          <w:rtl w:val="0"/>
        </w:rPr>
        <w:t xml:space="preserve">РОЗДІЛ 2</w:t>
        <w:br w:type="textWrapping"/>
        <w:t xml:space="preserve">ТЕОРЕТИКО-МЕТОДОЛОГІЧНІ ОСНОВИ ПРОЕКТУВАННЯ ГЕЙМІФІКАЦІЇ</w:t>
      </w:r>
    </w:p>
    <w:p w:rsidR="00000000" w:rsidDel="00000000" w:rsidP="00000000" w:rsidRDefault="00000000" w:rsidRPr="00000000" w14:paraId="000000A1">
      <w:pPr>
        <w:pStyle w:val="Heading2"/>
        <w:spacing w:after="240" w:before="24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3u9leu837z9m" w:id="9"/>
      <w:bookmarkEnd w:id="9"/>
      <w:r w:rsidDel="00000000" w:rsidR="00000000" w:rsidRPr="00000000">
        <w:rPr>
          <w:rFonts w:ascii="Times New Roman" w:cs="Times New Roman" w:eastAsia="Times New Roman" w:hAnsi="Times New Roman"/>
          <w:b w:val="1"/>
          <w:bCs w:val="1"/>
          <w:sz w:val="28"/>
          <w:szCs w:val="28"/>
          <w:rtl w:val="0"/>
        </w:rPr>
        <w:t xml:space="preserve">2.1. Визначаємо проблему низької залученості користувачів в EdTech і пропонуємо гейміфікацію як рішення</w:t>
      </w:r>
    </w:p>
    <w:p w:rsidR="00000000" w:rsidDel="00000000" w:rsidP="00000000" w:rsidRDefault="00000000" w:rsidRPr="00000000" w14:paraId="000000A2">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Низька залученість користувачів залишається одним із головних викликів для платформ освітніх технологій (EdTech). Це часто призводить до того, що навчальні результати не відповідають очікуванням, а кількість тих, хто припиняє навчання, залишається високою [1]. Хоча цифрові освітні середовища відкривають безпрецедентні можливості для доступу, вони нерідко не можуть утримати мотивацію учнів протягом тривалого часу. Через це потенціал таких платформ для справжньої трансформації освіти знижується [2; 3].</w:t>
      </w:r>
    </w:p>
    <w:p w:rsidR="00000000" w:rsidDel="00000000" w:rsidP="00000000" w:rsidRDefault="00000000" w:rsidRPr="00000000" w14:paraId="000000A3">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Гейміфікація — це цілеспрямоване впровадження елементів ігрового дизайну в неігрові ситуації. Вона поступово набирає популярності як підхід до подолання проблеми недостатньої залученості [4]. Спираючись на принципи мотиваційної психології та сучасного геймдизайну, гейміфікація здатна посилити внутрішню мотивацію, підтримати інтерес користувачів і значно підвищити ефективність навчання [4; 5].</w:t>
      </w:r>
    </w:p>
    <w:p w:rsidR="00000000" w:rsidDel="00000000" w:rsidP="00000000" w:rsidRDefault="00000000" w:rsidRPr="00000000" w14:paraId="000000A4">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 щоб гейміфікація дійсно працювала в EdTech, потрібна продумана методологія. Недостатньо просто додати систему нагород, важливо впроваджувати мотиваційні чинники на глибшому рівні [6; 7]. У цій роботі буде розроблятися така основа. Вона передбачає системну інтеграцію перевірених мотиваційних теорій — зокрема теорії самовизначення (SDT) та моделі окталізу — у практичний дизайн користувацького досвіду (UX). Пропонується створювати релевантні персони типів гравців та нові сценарії гейміфікованого залучення. Запропонована методологія відкриває чіткий шлях для розробки та перевірки EdTech-додатків, які дійсно захоплюють, відповідають педагогічним цілям і адаптуються до різних потреб учнів.</w:t>
      </w:r>
    </w:p>
    <w:p w:rsidR="00000000" w:rsidDel="00000000" w:rsidP="00000000" w:rsidRDefault="00000000" w:rsidRPr="00000000" w14:paraId="000000A5">
      <w:pPr>
        <w:pStyle w:val="Heading2"/>
        <w:spacing w:after="240" w:before="240" w:line="360" w:lineRule="auto"/>
        <w:ind w:left="283.46456692913375" w:right="-844.7244094488178" w:firstLine="0"/>
        <w:rPr>
          <w:rFonts w:ascii="Times New Roman" w:cs="Times New Roman" w:eastAsia="Times New Roman" w:hAnsi="Times New Roman"/>
          <w:sz w:val="28"/>
          <w:szCs w:val="28"/>
        </w:rPr>
      </w:pPr>
      <w:bookmarkStart w:colFirst="0" w:colLast="0" w:name="_megydsfcnquw" w:id="10"/>
      <w:bookmarkEnd w:id="10"/>
      <w:r w:rsidDel="00000000" w:rsidR="00000000" w:rsidRPr="00000000">
        <w:rPr>
          <w:rFonts w:ascii="Times New Roman" w:cs="Times New Roman" w:eastAsia="Times New Roman" w:hAnsi="Times New Roman"/>
          <w:b w:val="1"/>
          <w:bCs w:val="1"/>
          <w:sz w:val="28"/>
          <w:szCs w:val="28"/>
          <w:rtl w:val="0"/>
        </w:rPr>
        <w:t xml:space="preserve">2.2. Огляд літератури</w:t>
      </w:r>
      <w:r w:rsidDel="00000000" w:rsidR="00000000" w:rsidRPr="00000000">
        <w:rPr>
          <w:rtl w:val="0"/>
        </w:rPr>
      </w:r>
    </w:p>
    <w:p w:rsidR="00000000" w:rsidDel="00000000" w:rsidP="00000000" w:rsidRDefault="00000000" w:rsidRPr="00000000" w14:paraId="000000A6">
      <w:pPr>
        <w:pStyle w:val="Heading3"/>
        <w:spacing w:after="240" w:before="240" w:line="360" w:lineRule="auto"/>
        <w:ind w:left="283.46456692913375" w:right="-844.7244094488178" w:firstLine="0"/>
        <w:rPr>
          <w:rFonts w:ascii="Times New Roman" w:cs="Times New Roman" w:eastAsia="Times New Roman" w:hAnsi="Times New Roman"/>
          <w:color w:val="000000"/>
          <w:sz w:val="28"/>
          <w:szCs w:val="28"/>
        </w:rPr>
      </w:pPr>
      <w:bookmarkStart w:colFirst="0" w:colLast="0" w:name="_9eaxr0hmhlzz" w:id="11"/>
      <w:bookmarkEnd w:id="11"/>
      <w:r w:rsidDel="00000000" w:rsidR="00000000" w:rsidRPr="00000000">
        <w:rPr>
          <w:rFonts w:ascii="Times New Roman" w:cs="Times New Roman" w:eastAsia="Times New Roman" w:hAnsi="Times New Roman"/>
          <w:b w:val="1"/>
          <w:bCs w:val="1"/>
          <w:color w:val="000000"/>
          <w:rtl w:val="0"/>
        </w:rPr>
        <w:t xml:space="preserve">2.2.1. Аналіз основних мотиваційних теорій: теорія самовизначення (SDT) і її три ключові потреби</w:t>
      </w:r>
      <w:r w:rsidDel="00000000" w:rsidR="00000000" w:rsidRPr="00000000">
        <w:rPr>
          <w:rtl w:val="0"/>
        </w:rPr>
      </w:r>
    </w:p>
    <w:p w:rsidR="00000000" w:rsidDel="00000000" w:rsidP="00000000" w:rsidRDefault="00000000" w:rsidRPr="00000000" w14:paraId="000000A7">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Теорія самовизначення (SDT) є однією з провідних концепцій, що пояснюють людську мотивацію, особистісний розвиток і добробут. Вона дає нам ґрунтовний психологічний інструментарій для розуміння внутрішньої мотивації в різних сферах, зокрема й в освіті [8; 9; 10]. Згідно з SDT, кожна людина має три базові психологічні потреби: автономію, компетентність і зв’язок із іншими [10; 11; 12]. Їхнє задоволення сприяє оптимальному розвитку та гармонійному функціонуванню особистості. Ці потреби універсальні — вони важливі для кожного з нас і лежать в основі психологічного здоров’я.</w:t>
      </w:r>
    </w:p>
    <w:p w:rsidR="00000000" w:rsidDel="00000000" w:rsidP="00000000" w:rsidRDefault="00000000" w:rsidRPr="00000000" w14:paraId="000000A8">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Автономія — це відчуття вибору та контролю над власними діями. Людина має відчувати себе ініціатором своєї поведінки, а не просто реагувати на зовнішні фактори [8]. У середовищі EdTech підтримка автономії означає, що учень може сам обирати навчальні шляхи, регулювати темп роботи, підбирати завдання чи налаштовувати навчальний простір під себе. Такий підхід посилює відчуття відповідальності й свободи у навчанні [8]. Наприклад, якщо користувач може обирати між різними вправами чи модулями, його автономна мотивація суттєво зростає [10].</w:t>
      </w:r>
    </w:p>
    <w:p w:rsidR="00000000" w:rsidDel="00000000" w:rsidP="00000000" w:rsidRDefault="00000000" w:rsidRPr="00000000" w14:paraId="000000A9">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Компетентність — це потреба відчувати власну ефективність у взаємодії зі світом і розкривати свої здібності. Це дає відчуття майстерності та розвитку [8]. Ігрові системи часто враховують цю потребу, пропонуючи чітко сформульовані цілі, багаторівневі завдання, прозорі індикатори прогресу (наприклад, шкали чи дерева навичок), а також різні рівні складності, які забезпечують доречні виклики та сприяють почуттю досягнення [9; 11]. Негайний і конструктивний зворотний зв’язок також відіграє ключову роль у задоволенні цієї потреби [8].</w:t>
      </w:r>
    </w:p>
    <w:p w:rsidR="00000000" w:rsidDel="00000000" w:rsidP="00000000" w:rsidRDefault="00000000" w:rsidRPr="00000000" w14:paraId="000000AA">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Зв’язок із іншими — це прагнення бути частиною спільноти, відчувати турботу та підтримку, а також ділитися своїми успіхами з однодумцями [8]. У EdTech цьому сприяють спільні проекти, дискусійні форуми, продумані таблиці лідерів, які заохочують позитивне соціальне порівняння, і системи підтримки від однолітків. Такі елементи допомагають перетворити потенційно ізольоване цифрове навчання на спільний досвід [12]. Контент, створений користувачами, а також можливість ділитися досягненнями додатково посилюють це відчуття зв’язку [12].</w:t>
      </w:r>
    </w:p>
    <w:p w:rsidR="00000000" w:rsidDel="00000000" w:rsidP="00000000" w:rsidRDefault="00000000" w:rsidRPr="00000000" w14:paraId="000000AB">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Якщо застосувати SDT до гейміфікації, то стає очевидно: саме ті елементи, які підтримують автономію, компетентність і зв’язок із іншими, найкраще сприяють стійкій внутрішній мотивації та глибокому залученню. Надмірна ставка лише на зовнішні нагороди може навпаки послабити інтерес і довготривалу участь [9]. Тому дослідники зазвичай спираються на такі теорії як SDT при розробці гейміфікованих рішень через їхню переконливу пояснювальну силу щодо мотивації [9].</w:t>
      </w:r>
      <w:r w:rsidDel="00000000" w:rsidR="00000000" w:rsidRPr="00000000">
        <w:rPr>
          <w:rtl w:val="0"/>
        </w:rPr>
      </w:r>
    </w:p>
    <w:p w:rsidR="00000000" w:rsidDel="00000000" w:rsidP="00000000" w:rsidRDefault="00000000" w:rsidRPr="00000000" w14:paraId="000000AC">
      <w:pPr>
        <w:pStyle w:val="Heading3"/>
        <w:spacing w:after="240" w:before="240" w:line="360" w:lineRule="auto"/>
        <w:ind w:left="283.46456692913375" w:right="-844.7244094488178" w:firstLine="0"/>
        <w:rPr>
          <w:rFonts w:ascii="Times New Roman" w:cs="Times New Roman" w:eastAsia="Times New Roman" w:hAnsi="Times New Roman"/>
          <w:sz w:val="28"/>
          <w:szCs w:val="28"/>
        </w:rPr>
      </w:pPr>
      <w:bookmarkStart w:colFirst="0" w:colLast="0" w:name="_uciqdfa9pv77" w:id="12"/>
      <w:bookmarkEnd w:id="12"/>
      <w:r w:rsidDel="00000000" w:rsidR="00000000" w:rsidRPr="00000000">
        <w:rPr>
          <w:b w:val="1"/>
          <w:bCs w:val="1"/>
          <w:color w:val="000000"/>
          <w:rtl w:val="0"/>
        </w:rPr>
        <w:t xml:space="preserve">2.2.2. Аналіз практичних підходів: Octalysis (8 основних мотивів) та MDA (механіка, динаміка, естетика)</w:t>
      </w:r>
      <w:r w:rsidDel="00000000" w:rsidR="00000000" w:rsidRPr="00000000">
        <w:rPr>
          <w:rtl w:val="0"/>
        </w:rPr>
      </w:r>
    </w:p>
    <w:p w:rsidR="00000000" w:rsidDel="00000000" w:rsidP="00000000" w:rsidRDefault="00000000" w:rsidRPr="00000000" w14:paraId="000000AD">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Психологічні теорії закладають фундамент для гейміфікації, але саме практичні підходи визначають, як усе працює на практиці. Модель Mechanics, Dynamics, Aesthetics (MDA) пропонує зрозумілу структуру для розгляду ігрового дизайну. Вона ділить гру на три тісно пов’язані компоненти, що дозволяє простежити, як ідеї розробників перетворюються на досвід гравців [6; 13].</w:t>
      </w:r>
    </w:p>
    <w:p w:rsidR="00000000" w:rsidDel="00000000" w:rsidP="00000000" w:rsidRDefault="00000000" w:rsidRPr="00000000" w14:paraId="000000AE">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Почнемо з mechanics — це базові елементи гри, які закладені в її правилах та алгоритмах. Сюди входять такі функціональні складові, як бали, значки, таблиці лідерів чи рівні [6]. Dynamics описують, як гравці взаємодіють із цими механіками; це поведінка, що виникає під час гри, а також реакції системи на дії користувача [6]. Нарешті, aesthetics охоплюють емоції та враження гравця: почуття, сюжет, виклики, спілкування, відкриття, самовираження й прагнення перемоги [6].</w:t>
      </w:r>
    </w:p>
    <w:p w:rsidR="00000000" w:rsidDel="00000000" w:rsidP="00000000" w:rsidRDefault="00000000" w:rsidRPr="00000000" w14:paraId="000000AF">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Завдяки MDA ми можемо структурувати розуміння ігрових систем і простежити шлях від задуму дизайнера до реального досвіду користувача. Саме те, що закладає розробник, згодом визначає відчуття гравця [6].</w:t>
      </w:r>
    </w:p>
    <w:p w:rsidR="00000000" w:rsidDel="00000000" w:rsidP="00000000" w:rsidRDefault="00000000" w:rsidRPr="00000000" w14:paraId="000000B0">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Octalysis — фреймворк Ю-Кая Чоу — дозволяє подивитися на мотивацію через вісім основних рушіїв. Цей підхід допомагає глибше зрозуміти психологію гравця й створити чіткий план для формування захопливого досвіду [6]. Ось ці мотиви:</w:t>
      </w:r>
    </w:p>
    <w:p w:rsidR="00000000" w:rsidDel="00000000" w:rsidP="00000000" w:rsidRDefault="00000000" w:rsidRPr="00000000" w14:paraId="000000B1">
      <w:pPr>
        <w:numPr>
          <w:ilvl w:val="0"/>
          <w:numId w:val="21"/>
        </w:numPr>
        <w:spacing w:after="0" w:afterAutospacing="0" w:before="24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Епічне значення та покликання. Людина відчуває себе частиною чогось більшого — важливої мети чи місії [6].</w:t>
      </w:r>
    </w:p>
    <w:p w:rsidR="00000000" w:rsidDel="00000000" w:rsidP="00000000" w:rsidRDefault="00000000" w:rsidRPr="00000000" w14:paraId="000000B2">
      <w:pPr>
        <w:numPr>
          <w:ilvl w:val="0"/>
          <w:numId w:val="21"/>
        </w:numPr>
        <w:spacing w:after="0" w:afterAutospacing="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Розвиток і досягнення. Внутрішнє прагнення до росту й майстерності проявляється через бали, прогрес-бар, рівні або значки [6].</w:t>
      </w:r>
    </w:p>
    <w:p w:rsidR="00000000" w:rsidDel="00000000" w:rsidP="00000000" w:rsidRDefault="00000000" w:rsidRPr="00000000" w14:paraId="000000B3">
      <w:pPr>
        <w:numPr>
          <w:ilvl w:val="0"/>
          <w:numId w:val="21"/>
        </w:numPr>
        <w:spacing w:after="0" w:afterAutospacing="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Творчість і зворотний зв'язок. Бажання творити й отримувати відгук забезпечує відчуття вибору та автономії [6].</w:t>
      </w:r>
    </w:p>
    <w:p w:rsidR="00000000" w:rsidDel="00000000" w:rsidP="00000000" w:rsidRDefault="00000000" w:rsidRPr="00000000" w14:paraId="000000B4">
      <w:pPr>
        <w:numPr>
          <w:ilvl w:val="0"/>
          <w:numId w:val="21"/>
        </w:numPr>
        <w:spacing w:after="0" w:afterAutospacing="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Власність і володіння. Мотивація з’являється завдяки контролю над віртуальними товарами, аватарами чи персоналізованим контентом [6].</w:t>
      </w:r>
    </w:p>
    <w:p w:rsidR="00000000" w:rsidDel="00000000" w:rsidP="00000000" w:rsidRDefault="00000000" w:rsidRPr="00000000" w14:paraId="000000B5">
      <w:pPr>
        <w:numPr>
          <w:ilvl w:val="0"/>
          <w:numId w:val="21"/>
        </w:numPr>
        <w:spacing w:after="0" w:afterAutospacing="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Соціальний вплив і спорідненість. Люди шукають соціальних зв’язків, наставництва й визнання; цьому сприяють дружба, групові квести чи спільне святкування досягнень [6; 13].</w:t>
      </w:r>
    </w:p>
    <w:p w:rsidR="00000000" w:rsidDel="00000000" w:rsidP="00000000" w:rsidRDefault="00000000" w:rsidRPr="00000000" w14:paraId="000000B6">
      <w:pPr>
        <w:numPr>
          <w:ilvl w:val="0"/>
          <w:numId w:val="21"/>
        </w:numPr>
        <w:spacing w:after="0" w:afterAutospacing="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Дефіцит і нетерплячість. Бажання отримати рідкісні чи обмежені у часі речі посилюють таймери або спеціальні пропозиції [6].</w:t>
      </w:r>
    </w:p>
    <w:p w:rsidR="00000000" w:rsidDel="00000000" w:rsidP="00000000" w:rsidRDefault="00000000" w:rsidRPr="00000000" w14:paraId="000000B7">
      <w:pPr>
        <w:numPr>
          <w:ilvl w:val="0"/>
          <w:numId w:val="21"/>
        </w:numPr>
        <w:spacing w:after="0" w:afterAutospacing="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Непередбачуваність і цікавість. Привабливість сюрпризів і невідомого реалізується через випадкові винагороди, прихований контент або міні-квести [6].</w:t>
      </w:r>
    </w:p>
    <w:p w:rsidR="00000000" w:rsidDel="00000000" w:rsidP="00000000" w:rsidRDefault="00000000" w:rsidRPr="00000000" w14:paraId="000000B8">
      <w:pPr>
        <w:numPr>
          <w:ilvl w:val="0"/>
          <w:numId w:val="21"/>
        </w:numPr>
        <w:spacing w:after="24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Втрата й уникнення. Мотивація уникати негативних наслідків — наприклад, втрати прогресу чи можливостей. Тут працюють концепції «The Tragedy of Sunk Costs» або «Синдром втрачених можливостей» [6].</w:t>
      </w:r>
    </w:p>
    <w:p w:rsidR="00000000" w:rsidDel="00000000" w:rsidP="00000000" w:rsidRDefault="00000000" w:rsidRPr="00000000" w14:paraId="000000B9">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Octalysis дає чіткий словник для аналізу й створення ігрових досвідів — під кожен мотив можна підібрати конкретний механізм. Якщо поєднати структурованість MDA з глибиною мотивацій Octalysis, з’являється можливість будувати ігрові системи для різних типів користувачів [6].</w:t>
      </w:r>
    </w:p>
    <w:p w:rsidR="00000000" w:rsidDel="00000000" w:rsidP="00000000" w:rsidRDefault="00000000" w:rsidRPr="00000000" w14:paraId="000000BA">
      <w:pPr>
        <w:pStyle w:val="Heading3"/>
        <w:spacing w:after="240" w:before="240" w:line="360" w:lineRule="auto"/>
        <w:ind w:left="283.46456692913375" w:right="-844.7244094488178" w:firstLine="0"/>
        <w:rPr>
          <w:rFonts w:ascii="Times New Roman" w:cs="Times New Roman" w:eastAsia="Times New Roman" w:hAnsi="Times New Roman"/>
          <w:sz w:val="28"/>
          <w:szCs w:val="28"/>
        </w:rPr>
      </w:pPr>
      <w:bookmarkStart w:colFirst="0" w:colLast="0" w:name="_60k59da2nfb" w:id="13"/>
      <w:bookmarkEnd w:id="13"/>
      <w:r w:rsidDel="00000000" w:rsidR="00000000" w:rsidRPr="00000000">
        <w:rPr>
          <w:b w:val="1"/>
          <w:bCs w:val="1"/>
          <w:color w:val="000000"/>
          <w:rtl w:val="0"/>
        </w:rPr>
        <w:t xml:space="preserve">2.2.3. Порівняння застосування гейміфікації в EdTech та FinTech</w:t>
      </w:r>
      <w:r w:rsidDel="00000000" w:rsidR="00000000" w:rsidRPr="00000000">
        <w:rPr>
          <w:rtl w:val="0"/>
        </w:rPr>
      </w:r>
    </w:p>
    <w:p w:rsidR="00000000" w:rsidDel="00000000" w:rsidP="00000000" w:rsidRDefault="00000000" w:rsidRPr="00000000" w14:paraId="000000BB">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Гейміфікація проявляється по-різному в кожній сфері — усе залежить від цілей і звичок користувачів. В EdTech основна увага зосереджена на підвищенні мотивації, залученості та результативності навчання [2; 4]. Тут прагнуть зробити щоденні освітні завдання цікавішими й захопливішими. Типові елементи гейміфікації в EdTech — бали, значки, таблиці лідерів і трекери прогресу; вони роблять навчання більш інтерактивним, вимірюваним та винагороджуваним [4; 14].</w:t>
      </w:r>
    </w:p>
    <w:p w:rsidR="00000000" w:rsidDel="00000000" w:rsidP="00000000" w:rsidRDefault="00000000" w:rsidRPr="00000000" w14:paraId="000000BC">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Зазвичай ефективність гейміфікації в EdTech визначають за покращенням академічних результатів, активнішою участю студентів, вищими показниками завершення курсів та стійким інтересом до навчальних платформ [15; 16]. Наприклад, платформи EDUPERES та GAMERES демонструють, як інтерактивний дизайн і гейміфіковані елементи допомагають студентам опановувати складні предмети й посилюють відчуття досягнення та прогресу [17]. Такі інструменти часто містять елементи підтримки самостійного навчання й розвитку внутрішньої мотивації; вони структурують процес засвоєння матеріалу [11]. У центрі EdTech зазвичай стоїть внутрішній потяг до знань та особистісного розвитку.</w:t>
      </w:r>
    </w:p>
    <w:p w:rsidR="00000000" w:rsidDel="00000000" w:rsidP="00000000" w:rsidRDefault="00000000" w:rsidRPr="00000000" w14:paraId="000000BD">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FinTech акценти зміщуються: тут гейміфікація допомагає змінювати фінансову поведінку — наприклад, у сфері заощаджень, інвестування чи відповідального витрачання коштів. Мета — формування фінансових звичок і підвищення фінансової грамотності разом із лояльністю клієнтів. Мотивація й залучення залишаються важливими; однак головна увага переходить на реальні економічні дії користувача.</w:t>
      </w:r>
    </w:p>
    <w:p w:rsidR="00000000" w:rsidDel="00000000" w:rsidP="00000000" w:rsidRDefault="00000000" w:rsidRPr="00000000" w14:paraId="000000BE">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 прикладів — додатки для ведення бюджету з балами за досягнуті фінансові цілі; інвестиційні платформи із симульованими портфелями й рейтингами для навчання динаміці ринку; банківські додатки з віртуальними винагородами за регулярні заощадження. На відміну від EdTech, де головна «нагорода» — це знання або сертифікат, у FinTech дії користувача безпосередньо пов’язані з фінансовими результатами — навіть якщо це лише їхнє віртуальне відображення.</w:t>
      </w:r>
    </w:p>
    <w:p w:rsidR="00000000" w:rsidDel="00000000" w:rsidP="00000000" w:rsidRDefault="00000000" w:rsidRPr="00000000" w14:paraId="000000BF">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FinTech мотивація частіше базується на зовнішніх факторах: фінансовому благополуччі, уникненні ризиків чи бажанні отримати прибуток. Водночас із розвитком навичок поступово виникає й внутрішня мотивація до фінансової майстерності. Обидві галузі використовують поведінкову психологію; проте значення й дизайн ігрових елементів залежать від того, чи спрямовані вони на інтелектуальний розвиток або на зміну фінансової поведінки. Врахування переваг користувачів — їхніх демографічних характеристик та ігрових уподобань — суттєво впливає на сприйняття та ефективність цих систем [18].</w:t>
      </w:r>
    </w:p>
    <w:p w:rsidR="00000000" w:rsidDel="00000000" w:rsidP="00000000" w:rsidRDefault="00000000" w:rsidRPr="00000000" w14:paraId="000000C0">
      <w:pPr>
        <w:pStyle w:val="Heading3"/>
        <w:spacing w:after="240" w:before="240" w:line="360" w:lineRule="auto"/>
        <w:ind w:left="283.46456692913375" w:right="-844.7244094488178" w:firstLine="0"/>
        <w:rPr>
          <w:rFonts w:ascii="Times New Roman" w:cs="Times New Roman" w:eastAsia="Times New Roman" w:hAnsi="Times New Roman"/>
          <w:sz w:val="28"/>
          <w:szCs w:val="28"/>
        </w:rPr>
      </w:pPr>
      <w:bookmarkStart w:colFirst="0" w:colLast="0" w:name="_ix757yrn73ey" w:id="14"/>
      <w:bookmarkEnd w:id="14"/>
      <w:r w:rsidDel="00000000" w:rsidR="00000000" w:rsidRPr="00000000">
        <w:rPr>
          <w:b w:val="1"/>
          <w:bCs w:val="1"/>
          <w:color w:val="000000"/>
          <w:rtl w:val="0"/>
        </w:rPr>
        <w:t xml:space="preserve">2.2.4. Етичні аспекти, конфіденційність та негативні наслідки (наприклад, демотивація, обман)</w:t>
      </w:r>
      <w:r w:rsidDel="00000000" w:rsidR="00000000" w:rsidRPr="00000000">
        <w:rPr>
          <w:rtl w:val="0"/>
        </w:rPr>
      </w:r>
    </w:p>
    <w:p w:rsidR="00000000" w:rsidDel="00000000" w:rsidP="00000000" w:rsidRDefault="00000000" w:rsidRPr="00000000" w14:paraId="000000C1">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Гейміфікація дійсно приносить чимало переваг, особливо коли потрібно залучити й мотивувати користувачів. Але разом із цим виникають етичні питання й потенційно небажані наслідки, які не варто ігнорувати [9; 19; 20]. Одне з головних занепокоєнь стосується ризику маніпуляцій та експлуатації: ігрові системи можуть непомітно спонукати людей до дій у інтересах платформи замість реальних потреб чи навчальних цілей користувача [9].</w:t>
      </w:r>
    </w:p>
    <w:p w:rsidR="00000000" w:rsidDel="00000000" w:rsidP="00000000" w:rsidRDefault="00000000" w:rsidRPr="00000000" w14:paraId="000000C2">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 зовнішні винагороди (бали чи значки) стають головною мотивацією, внутрішній інтерес може згасати. Якщо діяльність спочатку приносила задоволення сама по собі, надмірна гейміфікація часто знижує цей інтерес [9]. І як тільки зовнішні стимули зникають — учасники нерідко втрачають інтерес до самої діяльності [9].</w:t>
      </w:r>
    </w:p>
    <w:p w:rsidR="00000000" w:rsidDel="00000000" w:rsidP="00000000" w:rsidRDefault="00000000" w:rsidRPr="00000000" w14:paraId="000000C3">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Питання приватності особливо важливе для EdTech-платформ, які працюють із чутливою інформацією студентів. Такі системи часто збирають великі обсяги даних: моделі навчання, прогрес, історію взаємодій і навіть психологічні профілі для персоналізації досвіду [20]. Це викликає запитання щодо безпеки зберігання даних і прозорості їхнього збору та використання — особливо коли мова йде про неповнолітніх учасників освітнього процесу [20]. Тут необхідно впроваджувати надійні протоколи захисту даних, дотримуватися вимог конфіденційності (наприклад GDPR або COPPA) й отримувати усвідомлену згоду користувачів.</w:t>
      </w:r>
    </w:p>
    <w:p w:rsidR="00000000" w:rsidDel="00000000" w:rsidP="00000000" w:rsidRDefault="00000000" w:rsidRPr="00000000" w14:paraId="000000C4">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Негативний вплив гейміфікації не обмежується лише приватністю чи зміною мотивації. Недосконалий дизайн може провокувати нездорову конкуренцію — особливо коли лідерборди чи рейтинги надто помітні. Це здатне викликати стрес, тривогу або навіть булінг серед тих учасників, які опинилися нижче у списках результатів [9; 19]. Крім того, трапляються випадки обману чи маніпуляцій із системою: деякі користувачі шукають способи здобути винагороди без реального навчання або зусиль — у результаті освітній ефект може знецінюватися [9].</w:t>
      </w:r>
    </w:p>
    <w:p w:rsidR="00000000" w:rsidDel="00000000" w:rsidP="00000000" w:rsidRDefault="00000000" w:rsidRPr="00000000" w14:paraId="000000C5">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Гейміфікація також може призводити до демотивації — особливо якщо механізми здаються поверхневими або несправедливими чи якщо винагороди виглядають випадковими [9]. З’являється «втома від гейміфікації»: початковий інтерес згасає й система поступово перестає працювати ефективно; це вимагає постійного оновлення дизайну [9]. Дослідники закликають уважно аналізувати ці небажані ефекти — їх часто називають «темною стороною» гейміфікації — щоб створювати більш стійкі та етичні рішення [9]. Баланс між мотиваційним дизайном і етичними запобіжниками має залишатися ключовим: важливо дбати про добробут користувачів і справжнє навчання замість поверхневих показників залученості.</w:t>
      </w:r>
    </w:p>
    <w:p w:rsidR="00000000" w:rsidDel="00000000" w:rsidP="00000000" w:rsidRDefault="00000000" w:rsidRPr="00000000" w14:paraId="000000C7">
      <w:pPr>
        <w:pStyle w:val="Heading1"/>
        <w:keepNext w:val="0"/>
        <w:keepLines w:val="0"/>
        <w:spacing w:before="4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daa7zhpg1a38" w:id="15"/>
      <w:bookmarkEnd w:id="15"/>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0"/>
        <w:keepLines w:val="0"/>
        <w:spacing w:before="480" w:line="360" w:lineRule="auto"/>
        <w:ind w:left="283.46456692913375" w:right="-844.7244094488178" w:firstLine="0"/>
        <w:jc w:val="center"/>
        <w:rPr>
          <w:rFonts w:ascii="Times New Roman" w:cs="Times New Roman" w:eastAsia="Times New Roman" w:hAnsi="Times New Roman"/>
          <w:b w:val="1"/>
          <w:bCs w:val="1"/>
          <w:sz w:val="28"/>
          <w:szCs w:val="28"/>
        </w:rPr>
      </w:pPr>
      <w:bookmarkStart w:colFirst="0" w:colLast="0" w:name="_lvq7p79uthis" w:id="16"/>
      <w:bookmarkEnd w:id="16"/>
      <w:r w:rsidDel="00000000" w:rsidR="00000000" w:rsidRPr="00000000">
        <w:rPr>
          <w:rFonts w:ascii="Times New Roman" w:cs="Times New Roman" w:eastAsia="Times New Roman" w:hAnsi="Times New Roman"/>
          <w:b w:val="1"/>
          <w:bCs w:val="1"/>
          <w:sz w:val="28"/>
          <w:szCs w:val="28"/>
          <w:rtl w:val="0"/>
        </w:rPr>
        <w:t xml:space="preserve">РОЗДІЛ 3</w:t>
        <w:br w:type="textWrapping"/>
        <w:t xml:space="preserve">РОЗРОБКА МЕТОДОЛОГІЧНОГО КАРКАСУ ТА СИМУЛЯЦІЯ АРТЕФАКТІВ</w:t>
      </w:r>
    </w:p>
    <w:p w:rsidR="00000000" w:rsidDel="00000000" w:rsidP="00000000" w:rsidRDefault="00000000" w:rsidRPr="00000000" w14:paraId="000000C9">
      <w:pPr>
        <w:pStyle w:val="Heading2"/>
        <w:keepNext w:val="0"/>
        <w:keepLines w:val="0"/>
        <w:spacing w:after="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t97s9v7x75ue" w:id="17"/>
      <w:bookmarkEnd w:id="17"/>
      <w:r w:rsidDel="00000000" w:rsidR="00000000" w:rsidRPr="00000000">
        <w:rPr>
          <w:rFonts w:ascii="Times New Roman" w:cs="Times New Roman" w:eastAsia="Times New Roman" w:hAnsi="Times New Roman"/>
          <w:b w:val="1"/>
          <w:bCs w:val="1"/>
          <w:sz w:val="28"/>
          <w:szCs w:val="28"/>
          <w:rtl w:val="0"/>
        </w:rPr>
        <w:t xml:space="preserve">3.1. Процес проектування, який відображає принципи SDT та мотиватори Octalysis у персонажах типів гравців.</w:t>
      </w:r>
    </w:p>
    <w:p w:rsidR="00000000" w:rsidDel="00000000" w:rsidP="00000000" w:rsidRDefault="00000000" w:rsidRPr="00000000" w14:paraId="000000CA">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ефективних ігрових EdTech-додатків спирається на глибоке розуміння мотивації користувачів. Необхідно виходити за межі стандартних ігрових елементів, прагнучи забезпечити персоналізований і дієвий досвід навчання. Запропонований процес проектування системно поєднує психологічні потреби, які визначає теорія самовизначення (SDT), із ключовими мотиваційними драйверами моделі Octalysis. Це дозволяє розробити індивідуальні персонажі-типи гравців, які стають практичними орієнтирами для UX-дизайну й допомагають обирати та впроваджувати ігрові механіки, що дійсно працюють для різних учнів.</w:t>
      </w:r>
    </w:p>
    <w:p w:rsidR="00000000" w:rsidDel="00000000" w:rsidP="00000000" w:rsidRDefault="00000000" w:rsidRPr="00000000" w14:paraId="000000CB">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процес передбачає кілька ітеративних етапів, кожен із яких орієнтований на користувача та його мотивацію:</w:t>
      </w:r>
    </w:p>
    <w:p w:rsidR="00000000" w:rsidDel="00000000" w:rsidP="00000000" w:rsidRDefault="00000000" w:rsidRPr="00000000" w14:paraId="000000CC">
      <w:pPr>
        <w:numPr>
          <w:ilvl w:val="0"/>
          <w:numId w:val="12"/>
        </w:numPr>
        <w:spacing w:after="0" w:afterAutospacing="0" w:before="240" w:line="360" w:lineRule="auto"/>
        <w:ind w:left="720" w:right="-844.7244094488178" w:hanging="153.0708661417324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Дослідження та сегментація користувачів:</w:t>
      </w:r>
    </w:p>
    <w:p w:rsidR="00000000" w:rsidDel="00000000" w:rsidP="00000000" w:rsidRDefault="00000000" w:rsidRPr="00000000" w14:paraId="000000CD">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Починаємо з комплексного якісного та кількісного дослідження, щоб глибше зрозуміти цільових учнів. Аналізуємо демографічні характеристики, навчальні вподобання, звички, внутрішню й зовнішню мотивацію, а також бар’єри, які можуть заважати використанню EdTech-рішень [6; 18]. Для цього залучаємо опитування, інтерв’ю, фокус-групи й етнографічні спостереження у навчальному середовищі.</w:t>
      </w:r>
    </w:p>
    <w:p w:rsidR="00000000" w:rsidDel="00000000" w:rsidP="00000000" w:rsidRDefault="00000000" w:rsidRPr="00000000" w14:paraId="000000CE">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Далі сегментуємо користувачів за виявленими моделями поведінки, стилями навчання, рівнем технологічної обізнаності та мотиваційними профілями. Такий підхід дозволяє врахувати різні реакції учнів на ігрові елементи та мотиваційні стимули [18].</w:t>
      </w:r>
    </w:p>
    <w:p w:rsidR="00000000" w:rsidDel="00000000" w:rsidP="00000000" w:rsidRDefault="00000000" w:rsidRPr="00000000" w14:paraId="000000CF">
      <w:pPr>
        <w:numPr>
          <w:ilvl w:val="0"/>
          <w:numId w:val="12"/>
        </w:numPr>
        <w:spacing w:after="0" w:afterAutospacing="0" w:before="0" w:beforeAutospacing="0" w:line="360" w:lineRule="auto"/>
        <w:ind w:left="720" w:right="-844.7244094488178" w:hanging="153.0708661417324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Відповідність основним потребам SDT:</w:t>
      </w:r>
    </w:p>
    <w:p w:rsidR="00000000" w:rsidDel="00000000" w:rsidP="00000000" w:rsidRDefault="00000000" w:rsidRPr="00000000" w14:paraId="000000D0">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кожного сегмента користувачів ми аналізуємо, як їхня поведінка й навчальні вподобання співвідносяться з трьома ключовими психологічними потребами SDT: автономією, компетентністю та взаємозв’язком [8]. Наприклад, ті, хто цінує самостійне навчання, зазвичай прагнуть автономії; натомість учні, які віддають перевагу командній роботі й зворотному зв’язку від однолітків, більше орієнтовані на взаємозв’язок.</w:t>
      </w:r>
    </w:p>
    <w:p w:rsidR="00000000" w:rsidDel="00000000" w:rsidP="00000000" w:rsidRDefault="00000000" w:rsidRPr="00000000" w14:paraId="000000D1">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Виявляємо конкретні проблеми або сфери, де ці потреби залишаються незадоволеними чи обмеженими поточними рішеннями. Це відкриває можливості для впровадження ігрових елементів, які допоможуть подолати мотиваційні прогалини.</w:t>
      </w:r>
    </w:p>
    <w:p w:rsidR="00000000" w:rsidDel="00000000" w:rsidP="00000000" w:rsidRDefault="00000000" w:rsidRPr="00000000" w14:paraId="000000D2">
      <w:pPr>
        <w:numPr>
          <w:ilvl w:val="0"/>
          <w:numId w:val="12"/>
        </w:numPr>
        <w:spacing w:after="0" w:afterAutospacing="0" w:before="0" w:beforeAutospacing="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Інтеграція мотиваторів Octalysis:</w:t>
      </w:r>
    </w:p>
    <w:p w:rsidR="00000000" w:rsidDel="00000000" w:rsidP="00000000" w:rsidRDefault="00000000" w:rsidRPr="00000000" w14:paraId="000000D3">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 доповнюємо результати SDT-аналізу вісьмома основними мотиваторами Octalysis. Наприклад, сегмент учнів із домінуючою потребою в «компетентності» (SDT) часто поєднується з мотиватором «Розвиток і досягнення» (Octalysis). А прагнення до автономії може відображатися у драйверах «Розширення творчих можливостей» чи «Власність і володіння».</w:t>
      </w:r>
    </w:p>
    <w:p w:rsidR="00000000" w:rsidDel="00000000" w:rsidP="00000000" w:rsidRDefault="00000000" w:rsidRPr="00000000" w14:paraId="000000D4">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цьому етапі ми визначаємо, які мотиватори Octalysis найбільш релевантні для кожного сегмента користувачів. Це створює багатий набір інструментів для розробки мотивуючого досвіду.</w:t>
      </w:r>
    </w:p>
    <w:p w:rsidR="00000000" w:rsidDel="00000000" w:rsidP="00000000" w:rsidRDefault="00000000" w:rsidRPr="00000000" w14:paraId="000000D5">
      <w:pPr>
        <w:numPr>
          <w:ilvl w:val="0"/>
          <w:numId w:val="12"/>
        </w:numPr>
        <w:spacing w:after="0" w:afterAutospacing="0" w:before="0" w:beforeAutospacing="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Створення персони типу гравця:</w:t>
      </w:r>
    </w:p>
    <w:p w:rsidR="00000000" w:rsidDel="00000000" w:rsidP="00000000" w:rsidRDefault="00000000" w:rsidRPr="00000000" w14:paraId="000000D6">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кожного суттєвого сегмента формуємо детальні персони типу гравця. У кожній персоні враховуємо не лише демографічні дані, цілі навчання й рівень обізнаності, а й основні потреби SDT та провідні мотиватори Octalysis.</w:t>
      </w:r>
    </w:p>
    <w:p w:rsidR="00000000" w:rsidDel="00000000" w:rsidP="00000000" w:rsidRDefault="00000000" w:rsidRPr="00000000" w14:paraId="000000D7">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Робимо ці персони максимально практичними: додаємо конкретні механіки гейміфікації (на рівні «Механіки» MDA), які найкраще відповідають їхньому мотиваційному профілю. Наприклад, персонаж «Соціальний дослідник», орієнтований на «взаємозв’язок» (SDT) та «соціальний вплив і спорідненість» (Octalysis), може отримати такі функції як спільні квести, соціальні рейтинги або систему наставництва.</w:t>
      </w:r>
    </w:p>
    <w:p w:rsidR="00000000" w:rsidDel="00000000" w:rsidP="00000000" w:rsidRDefault="00000000" w:rsidRPr="00000000" w14:paraId="000000D8">
      <w:pPr>
        <w:numPr>
          <w:ilvl w:val="0"/>
          <w:numId w:val="12"/>
        </w:numPr>
        <w:spacing w:after="0" w:afterAutospacing="0" w:before="0" w:beforeAutospacing="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Ітеративний дизайн та зворотний зв’язок:</w:t>
      </w:r>
    </w:p>
    <w:p w:rsidR="00000000" w:rsidDel="00000000" w:rsidP="00000000" w:rsidRDefault="00000000" w:rsidRPr="00000000" w14:paraId="000000D9">
      <w:pPr>
        <w:numPr>
          <w:ilvl w:val="1"/>
          <w:numId w:val="12"/>
        </w:numPr>
        <w:spacing w:after="0" w:afterAutospacing="0" w:before="0" w:beforeAutospacing="0" w:line="360" w:lineRule="auto"/>
        <w:ind w:left="1133.858267716535"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Створені персонажі типів гравців використовуємо протягом усього процесу розробки гейміфікації як постійний орієнтир. Це допомагає переконатися, що запропоновані функції дійсно відповідають мотиваціям користувачів.</w:t>
      </w:r>
    </w:p>
    <w:p w:rsidR="00000000" w:rsidDel="00000000" w:rsidP="00000000" w:rsidRDefault="00000000" w:rsidRPr="00000000" w14:paraId="000000DA">
      <w:pPr>
        <w:numPr>
          <w:ilvl w:val="1"/>
          <w:numId w:val="12"/>
        </w:numPr>
        <w:spacing w:after="240" w:before="0" w:beforeAutospacing="0" w:line="360" w:lineRule="auto"/>
        <w:ind w:left="1133.858267716535"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Постійно збираємо відгуки через прототипування, тестування й дослідження юзабіліті. Це дає змогу ітеративно вдосконалювати як самих персонажів, так і гейміфіковані рішення.</w:t>
      </w:r>
    </w:p>
    <w:p w:rsidR="00000000" w:rsidDel="00000000" w:rsidP="00000000" w:rsidRDefault="00000000" w:rsidRPr="00000000" w14:paraId="000000DB">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Такий структурований підхід дозволяє інтегрувати гейміфікацію у навчальний процес так, щоб вона підтримувала стійку внутрішню мотивацію. Ми досягаємо цього через задоволення ключових психологічних потреб за допомогою ретельно підібраних ігрових елементів.</w:t>
      </w:r>
    </w:p>
    <w:p w:rsidR="00000000" w:rsidDel="00000000" w:rsidP="00000000" w:rsidRDefault="00000000" w:rsidRPr="00000000" w14:paraId="000000DC">
      <w:pPr>
        <w:pStyle w:val="Heading2"/>
        <w:keepNext w:val="0"/>
        <w:keepLines w:val="0"/>
        <w:spacing w:after="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wbyuie6cxzin" w:id="18"/>
      <w:bookmarkEnd w:id="18"/>
      <w:r w:rsidDel="00000000" w:rsidR="00000000" w:rsidRPr="00000000">
        <w:rPr>
          <w:rFonts w:ascii="Times New Roman" w:cs="Times New Roman" w:eastAsia="Times New Roman" w:hAnsi="Times New Roman"/>
          <w:b w:val="1"/>
          <w:bCs w:val="1"/>
          <w:sz w:val="28"/>
          <w:szCs w:val="28"/>
          <w:rtl w:val="0"/>
        </w:rPr>
        <w:t xml:space="preserve">3.2. Метод проектування потоку «Гейміфікована адаптація користувачів» як заміна традиційних CJM.</w:t>
      </w:r>
    </w:p>
    <w:p w:rsidR="00000000" w:rsidDel="00000000" w:rsidP="00000000" w:rsidRDefault="00000000" w:rsidRPr="00000000" w14:paraId="000000DD">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Успішна адаптація користувачів визначає не лише їхнє початкове утримання в цифровому продукті, а й подальшу залученість — особливо у сфері EdTech, де стартова мотивація часто нестійка, а когнітивне навантаження високе. Тут ми розглядаємо метод створення «гейміфікованого процесу адаптації користувачів», який замінює традиційні статичні карти подорожі клієнта (CJM) більш динамічним і мотивуючим досвідом. Завдання полягає в тому, щоб захопити нових користувачів із самого початку: ми стратегічно задовольняємо їх психологічні потреби й ключові мотиватори — без перевантаження інформацією чи рутинними кроками.</w:t>
      </w:r>
    </w:p>
    <w:p w:rsidR="00000000" w:rsidDel="00000000" w:rsidP="00000000" w:rsidRDefault="00000000" w:rsidRPr="00000000" w14:paraId="000000DE">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Цей підхід базується на даних із персон типу гравця:</w:t>
      </w:r>
    </w:p>
    <w:p w:rsidR="00000000" w:rsidDel="00000000" w:rsidP="00000000" w:rsidRDefault="00000000" w:rsidRPr="00000000" w14:paraId="000000DF">
      <w:pPr>
        <w:numPr>
          <w:ilvl w:val="0"/>
          <w:numId w:val="23"/>
        </w:numPr>
        <w:spacing w:after="0" w:afterAutospacing="0" w:before="24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Визначення чітких цілей адаптації:</w:t>
      </w:r>
    </w:p>
    <w:p w:rsidR="00000000" w:rsidDel="00000000" w:rsidP="00000000" w:rsidRDefault="00000000" w:rsidRPr="00000000" w14:paraId="000000E0">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Чітко формулюємо результати, яких новий користувач має досягти до завершення адаптації. Сюди входить освоєння базових навчальних цілей (наприклад, розуміння основ), ключових функцій платформи (скажімо, подання першого завдання) та формування початкового відчуття компетентності й причетності до спільноти.</w:t>
      </w:r>
    </w:p>
    <w:p w:rsidR="00000000" w:rsidDel="00000000" w:rsidP="00000000" w:rsidRDefault="00000000" w:rsidRPr="00000000" w14:paraId="000000E1">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Розрізняємо короткострокові цілі адаптації (наприклад, налаштування профілю чи знайомство з інтерфейсом) та довгострокові поведінкові орієнтири (наприклад, регулярна практика чи участь у форумах).</w:t>
      </w:r>
    </w:p>
    <w:p w:rsidR="00000000" w:rsidDel="00000000" w:rsidP="00000000" w:rsidRDefault="00000000" w:rsidRPr="00000000" w14:paraId="000000E2">
      <w:pPr>
        <w:numPr>
          <w:ilvl w:val="0"/>
          <w:numId w:val="23"/>
        </w:numPr>
        <w:spacing w:after="0" w:afterAutospacing="0" w:before="0" w:beforeAutospacing="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Картування потоку на основі персонажів:</w:t>
      </w:r>
    </w:p>
    <w:p w:rsidR="00000000" w:rsidDel="00000000" w:rsidP="00000000" w:rsidRDefault="00000000" w:rsidRPr="00000000" w14:paraId="000000E3">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Використовуємо раніше створені персони типу гравця як основу для розробки індивідуальних маршрутів адаптації. Для кожної персони формуємо унікальний шлях адаптації — він відповідає їхнім основним потребам SDT і мотиваторам Octalysis. Такий підхід забезпечує релевантність і ефективність усіх етапів процесу.</w:t>
      </w:r>
    </w:p>
    <w:p w:rsidR="00000000" w:rsidDel="00000000" w:rsidP="00000000" w:rsidRDefault="00000000" w:rsidRPr="00000000" w14:paraId="000000E4">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Наприклад, для «Компетентного досягача» адаптація акцентує швидкий прогрес, негайний зворотний зв’язок за невеликі досягнення та ранню можливість показати свої навички. А для «Соціального дослідника» маршрут включає знайомство з колегами чи наставниками, огляд спільнотних функцій і спільні вступні завдання.</w:t>
        <w:br w:type="textWrapping"/>
        <w:br w:type="textWrapping"/>
      </w:r>
    </w:p>
    <w:p w:rsidR="00000000" w:rsidDel="00000000" w:rsidP="00000000" w:rsidRDefault="00000000" w:rsidRPr="00000000" w14:paraId="000000E5">
      <w:pPr>
        <w:numPr>
          <w:ilvl w:val="0"/>
          <w:numId w:val="23"/>
        </w:numPr>
        <w:spacing w:after="0" w:afterAutospacing="0" w:before="0" w:beforeAutospacing="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Інтеграція основних механізмів гейміфікації:</w:t>
      </w:r>
    </w:p>
    <w:p w:rsidR="00000000" w:rsidDel="00000000" w:rsidP="00000000" w:rsidRDefault="00000000" w:rsidRPr="00000000" w14:paraId="000000E6">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Трансформуємо визначені мотиваційні драйвери й психологічні потреби у конкретні механізми гейміфікації на кожному етапі адаптації. Обираємо механізми з рівня «Механізми» MDA й адаптуємо їх під кожного персонажа.</w:t>
      </w:r>
    </w:p>
    <w:p w:rsidR="00000000" w:rsidDel="00000000" w:rsidP="00000000" w:rsidRDefault="00000000" w:rsidRPr="00000000" w14:paraId="000000E7">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Ось кілька прикладів:</w:t>
      </w:r>
    </w:p>
    <w:p w:rsidR="00000000" w:rsidDel="00000000" w:rsidP="00000000" w:rsidRDefault="00000000" w:rsidRPr="00000000" w14:paraId="000000E8">
      <w:pPr>
        <w:numPr>
          <w:ilvl w:val="2"/>
          <w:numId w:val="23"/>
        </w:numPr>
        <w:spacing w:after="0" w:afterAutospacing="0" w:before="0" w:beforeAutospacing="0" w:line="360" w:lineRule="auto"/>
        <w:ind w:left="216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Вітальні квести або виклики: стартові завдання чи вступні уроки подаємо як захопливі «квести» з чіткими цілями й миттєвими винагородами (бали, віртуальна валюта чи досвід). Це відповідає мотиватору Octalysis «Епічне значення та покликання», а також стимулює розвиток і досягнення.</w:t>
      </w:r>
    </w:p>
    <w:p w:rsidR="00000000" w:rsidDel="00000000" w:rsidP="00000000" w:rsidRDefault="00000000" w:rsidRPr="00000000" w14:paraId="000000E9">
      <w:pPr>
        <w:numPr>
          <w:ilvl w:val="2"/>
          <w:numId w:val="23"/>
        </w:numPr>
        <w:spacing w:after="0" w:afterAutospacing="0" w:before="0" w:beforeAutospacing="0" w:line="360" w:lineRule="auto"/>
        <w:ind w:left="216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Візуалізація прогресу: динамічні індикатори прогресу, контрольні списки чи карти подорожі чітко демонструють проходження етапів адаптації або навчальних модулів. Це задовольняє потребу SDT у компетентності й мотиватор Octalysis «Розвиток і досягнення», забезпечуючи постійний зворотний зв’язок.</w:t>
      </w:r>
    </w:p>
    <w:p w:rsidR="00000000" w:rsidDel="00000000" w:rsidP="00000000" w:rsidRDefault="00000000" w:rsidRPr="00000000" w14:paraId="000000EA">
      <w:pPr>
        <w:numPr>
          <w:ilvl w:val="2"/>
          <w:numId w:val="23"/>
        </w:numPr>
        <w:spacing w:after="0" w:afterAutospacing="0" w:before="0" w:beforeAutospacing="0" w:line="360" w:lineRule="auto"/>
        <w:ind w:left="216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Ранні значки або винагороди: невеликі значущі значки чи віртуальні предмети видаємо за завершення налаштування профілю, перегляд вступного відео або першу взаємодію. Це створює відчуття власності та миттєве задоволення — важливий мотиватор розвитку й досягнення.</w:t>
      </w:r>
    </w:p>
    <w:p w:rsidR="00000000" w:rsidDel="00000000" w:rsidP="00000000" w:rsidRDefault="00000000" w:rsidRPr="00000000" w14:paraId="000000EB">
      <w:pPr>
        <w:numPr>
          <w:ilvl w:val="2"/>
          <w:numId w:val="23"/>
        </w:numPr>
        <w:spacing w:after="0" w:afterAutospacing="0" w:before="0" w:beforeAutospacing="0" w:line="360" w:lineRule="auto"/>
        <w:ind w:left="216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Персоналізація й вибір: пропонуємо обмежений але значущий вибір — наприклад, створення аватара чи вибір темпу навчання. Це підтримує автономію (SDT) і мотиватор Octalysis «Розширення творчих можливостей», дозволяючи користувачу відчути контроль над процесом.</w:t>
      </w:r>
    </w:p>
    <w:p w:rsidR="00000000" w:rsidDel="00000000" w:rsidP="00000000" w:rsidRDefault="00000000" w:rsidRPr="00000000" w14:paraId="000000EC">
      <w:pPr>
        <w:numPr>
          <w:ilvl w:val="2"/>
          <w:numId w:val="23"/>
        </w:numPr>
        <w:spacing w:after="0" w:afterAutospacing="0" w:before="0" w:beforeAutospacing="0" w:line="360" w:lineRule="auto"/>
        <w:ind w:left="216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Соціальні знайомства: для персонажів із фокусом на спорідненість додаємо опціональні або керовані кроки — знайомство з наставниками, приєднання до форуму чи перегляд активності інших учнів. Це відповідає потребі SDT у спорідненості й стимулу Octalysis «Соціальний вплив».</w:t>
      </w:r>
    </w:p>
    <w:p w:rsidR="00000000" w:rsidDel="00000000" w:rsidP="00000000" w:rsidRDefault="00000000" w:rsidRPr="00000000" w14:paraId="000000ED">
      <w:pPr>
        <w:numPr>
          <w:ilvl w:val="0"/>
          <w:numId w:val="23"/>
        </w:numPr>
        <w:spacing w:after="0" w:afterAutospacing="0" w:before="0" w:beforeAutospacing="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Наративне оформлення:</w:t>
      </w:r>
    </w:p>
    <w:p w:rsidR="00000000" w:rsidDel="00000000" w:rsidP="00000000" w:rsidRDefault="00000000" w:rsidRPr="00000000" w14:paraId="000000EE">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Створюємо захопливий сюжет або тематичну історію для всієї адаптації. Замість стандартних інструкцій на кшталт «Налаштуйте профіль», використовуємо формулювання на зразок «Почніть свою навчальну подорож», «Розблокуйте свою першу силу» чи «Розпочніть пошук знань». Такий підхід підсилює залученість через мотиватор «Епічне значення», роблячи процес схожим на гру.</w:t>
      </w:r>
    </w:p>
    <w:p w:rsidR="00000000" w:rsidDel="00000000" w:rsidP="00000000" w:rsidRDefault="00000000" w:rsidRPr="00000000" w14:paraId="000000EF">
      <w:pPr>
        <w:numPr>
          <w:ilvl w:val="0"/>
          <w:numId w:val="23"/>
        </w:numPr>
        <w:spacing w:after="0" w:afterAutospacing="0" w:before="0" w:beforeAutospacing="0" w:line="360" w:lineRule="auto"/>
        <w:ind w:left="720" w:right="-844.7244094488178" w:hanging="153.07086614173244"/>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Негайні цикли зворотного зв’язку та ітерація:</w:t>
      </w:r>
    </w:p>
    <w:p w:rsidR="00000000" w:rsidDel="00000000" w:rsidP="00000000" w:rsidRDefault="00000000" w:rsidRPr="00000000" w14:paraId="000000F0">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Передбачаємо швидкий і чіткий зворотний зв’язок для кожної дії під час адаптації — повідомлення про успіхи, прогрес чи можливості для покращення. Це підтримує відчуття компетентності.</w:t>
      </w:r>
    </w:p>
    <w:p w:rsidR="00000000" w:rsidDel="00000000" w:rsidP="00000000" w:rsidRDefault="00000000" w:rsidRPr="00000000" w14:paraId="000000F1">
      <w:pPr>
        <w:numPr>
          <w:ilvl w:val="1"/>
          <w:numId w:val="23"/>
        </w:numPr>
        <w:spacing w:after="0" w:afterAutospacing="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Постійно аналізуємо поведінку користувачів — особливо ті точки, де вони можуть залишити процес адаптації — і застосовуємо A/B-тестування різних ігрових елементів та послідовностей для оптимізації залученості й завершення адаптації.</w:t>
      </w:r>
    </w:p>
    <w:p w:rsidR="00000000" w:rsidDel="00000000" w:rsidP="00000000" w:rsidRDefault="00000000" w:rsidRPr="00000000" w14:paraId="000000F2">
      <w:pPr>
        <w:numPr>
          <w:ilvl w:val="1"/>
          <w:numId w:val="23"/>
        </w:numPr>
        <w:spacing w:after="240" w:before="0" w:beforeAutospacing="0" w:line="360" w:lineRule="auto"/>
        <w:ind w:left="1275.5905511811022" w:right="-844.7244094488178" w:hanging="135"/>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Такий підхід змінює адаптацію з простої процедури на інтегровану мотивуючу та персоналізовану складову навчального досвіду користувача. В результаті закладається міцна основа для стійкої залученості й більш глибокого навчання у EdTech-додатку.</w:t>
      </w:r>
      <w:r w:rsidDel="00000000" w:rsidR="00000000" w:rsidRPr="00000000">
        <w:rPr>
          <w:rtl w:val="0"/>
        </w:rPr>
      </w:r>
    </w:p>
    <w:p w:rsidR="00000000" w:rsidDel="00000000" w:rsidP="00000000" w:rsidRDefault="00000000" w:rsidRPr="00000000" w14:paraId="000000F3">
      <w:pPr>
        <w:pStyle w:val="Heading2"/>
        <w:keepNext w:val="0"/>
        <w:keepLines w:val="0"/>
        <w:spacing w:before="0" w:lineRule="auto"/>
        <w:ind w:left="283.46456692913375" w:right="-844.7244094488178" w:firstLine="0"/>
        <w:rPr>
          <w:rFonts w:ascii="Times New Roman" w:cs="Times New Roman" w:eastAsia="Times New Roman" w:hAnsi="Times New Roman"/>
          <w:b w:val="1"/>
          <w:bCs w:val="1"/>
          <w:sz w:val="28"/>
          <w:szCs w:val="28"/>
        </w:rPr>
      </w:pPr>
      <w:bookmarkStart w:colFirst="0" w:colLast="0" w:name="_txjfllyla91c" w:id="19"/>
      <w:bookmarkEnd w:id="19"/>
      <w:r w:rsidDel="00000000" w:rsidR="00000000" w:rsidRPr="00000000">
        <w:rPr>
          <w:rFonts w:ascii="Times New Roman" w:cs="Times New Roman" w:eastAsia="Times New Roman" w:hAnsi="Times New Roman"/>
          <w:b w:val="1"/>
          <w:bCs w:val="1"/>
          <w:sz w:val="28"/>
          <w:szCs w:val="28"/>
          <w:rtl w:val="0"/>
        </w:rPr>
        <w:t xml:space="preserve">3.3. Результати</w:t>
      </w:r>
    </w:p>
    <w:p w:rsidR="00000000" w:rsidDel="00000000" w:rsidP="00000000" w:rsidRDefault="00000000" w:rsidRPr="00000000" w14:paraId="000000F4">
      <w:pPr>
        <w:spacing w:after="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цьому розділі представлені практичні артефакти, розроблені на основі методології, описаної в Розділі 3. Ці артефакти демонструють пряме застосування теорії (SDT, Octalysis) для створення практичних UX-елементів.</w:t>
      </w:r>
    </w:p>
    <w:p w:rsidR="00000000" w:rsidDel="00000000" w:rsidP="00000000" w:rsidRDefault="00000000" w:rsidRPr="00000000" w14:paraId="000000F5">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pStyle w:val="Heading3"/>
        <w:spacing w:after="240" w:before="240" w:line="360" w:lineRule="auto"/>
        <w:ind w:left="283.46456692913375" w:right="-844.7244094488178" w:firstLine="0"/>
        <w:rPr>
          <w:rFonts w:ascii="Times New Roman" w:cs="Times New Roman" w:eastAsia="Times New Roman" w:hAnsi="Times New Roman"/>
          <w:b w:val="1"/>
          <w:bCs w:val="1"/>
          <w:color w:val="000000"/>
        </w:rPr>
      </w:pPr>
      <w:bookmarkStart w:colFirst="0" w:colLast="0" w:name="_1de6xlj4z8bd" w:id="20"/>
      <w:bookmarkEnd w:id="20"/>
      <w:r w:rsidDel="00000000" w:rsidR="00000000" w:rsidRPr="00000000">
        <w:rPr>
          <w:rFonts w:ascii="Times New Roman" w:cs="Times New Roman" w:eastAsia="Times New Roman" w:hAnsi="Times New Roman"/>
          <w:b w:val="1"/>
          <w:bCs w:val="1"/>
          <w:color w:val="000000"/>
          <w:rtl w:val="0"/>
        </w:rPr>
        <w:t xml:space="preserve">3.3.1 </w:t>
      </w:r>
      <w:r w:rsidDel="00000000" w:rsidR="00000000" w:rsidRPr="00000000">
        <w:rPr>
          <w:rFonts w:ascii="Times New Roman" w:cs="Times New Roman" w:eastAsia="Times New Roman" w:hAnsi="Times New Roman"/>
          <w:b w:val="1"/>
          <w:bCs w:val="1"/>
          <w:color w:val="000000"/>
          <w:rtl w:val="0"/>
        </w:rPr>
        <w:t xml:space="preserve">Артефакт Персона гравця (Player Persona)</w:t>
      </w:r>
    </w:p>
    <w:p w:rsidR="00000000" w:rsidDel="00000000" w:rsidP="00000000" w:rsidRDefault="00000000" w:rsidRPr="00000000" w14:paraId="000000F7">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На основі методології мапінгу Player Types на фреймворки SDT та Octalysis, була розроблена деталізована персона для типового користувача EdTech-додатку.</w:t>
      </w:r>
      <w:r w:rsidDel="00000000" w:rsidR="00000000" w:rsidRPr="00000000">
        <w:rPr>
          <w:rtl w:val="0"/>
        </w:rPr>
      </w:r>
    </w:p>
    <w:p w:rsidR="00000000" w:rsidDel="00000000" w:rsidP="00000000" w:rsidRDefault="00000000" w:rsidRPr="00000000" w14:paraId="000000F8">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Таблиця 3.1. Зразок персони "Компетентний Досягатор" (The 'Competent Achiever')</w:t>
      </w:r>
    </w:p>
    <w:tbl>
      <w:tblPr>
        <w:tblStyle w:val="Table3"/>
        <w:tblW w:w="972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620"/>
        <w:tblGridChange w:id="0">
          <w:tblGrid>
            <w:gridCol w:w="2100"/>
            <w:gridCol w:w="7620"/>
          </w:tblGrid>
        </w:tblGridChange>
      </w:tblGrid>
      <w:tr>
        <w:trPr>
          <w:cantSplit w:val="0"/>
          <w:trHeight w:val="850.26855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Категорія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Назва  </w:t>
              <w:br w:type="textWrapping"/>
              <w:t xml:space="preserve">Персони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"Компетентний Досягатор"</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Опис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або світчер, який використовує </w:t>
              <w:br w:type="textWrapping"/>
              <w:t xml:space="preserve">EdTech-платформу для отримання конкретних, вимірних </w:t>
              <w:br w:type="textWrapping"/>
              <w:t xml:space="preserve">навичок для кар'єрного росту.</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Психологія </w:t>
              <w:br w:type="textWrapping"/>
              <w:t xml:space="preserve">(SDT)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Висока потреба в Компетентності:</w:t>
            </w:r>
            <w:r w:rsidDel="00000000" w:rsidR="00000000" w:rsidRPr="00000000">
              <w:rPr>
                <w:rFonts w:ascii="Times New Roman" w:cs="Times New Roman" w:eastAsia="Times New Roman" w:hAnsi="Times New Roman"/>
                <w:sz w:val="28"/>
                <w:szCs w:val="28"/>
                <w:rtl w:val="0"/>
              </w:rPr>
              <w:t xml:space="preserve"> Хоче відчувати, </w:t>
              <w:br w:type="textWrapping"/>
              <w:t xml:space="preserve">що стає кращим і опановує матеріал.</w:t>
              <w:br w:type="textWrapping"/>
            </w:r>
            <w:r w:rsidDel="00000000" w:rsidR="00000000" w:rsidRPr="00000000">
              <w:rPr>
                <w:rFonts w:ascii="Times New Roman" w:cs="Times New Roman" w:eastAsia="Times New Roman" w:hAnsi="Times New Roman"/>
                <w:b w:val="1"/>
                <w:bCs w:val="1"/>
                <w:sz w:val="28"/>
                <w:szCs w:val="28"/>
                <w:rtl w:val="0"/>
              </w:rPr>
              <w:t xml:space="preserve">Висока потреба в Автономії:</w:t>
            </w:r>
            <w:r w:rsidDel="00000000" w:rsidR="00000000" w:rsidRPr="00000000">
              <w:rPr>
                <w:rFonts w:ascii="Times New Roman" w:cs="Times New Roman" w:eastAsia="Times New Roman" w:hAnsi="Times New Roman"/>
                <w:sz w:val="28"/>
                <w:szCs w:val="28"/>
                <w:rtl w:val="0"/>
              </w:rPr>
              <w:t xml:space="preserve"> Хоче самостійно </w:t>
              <w:br w:type="textWrapping"/>
              <w:t xml:space="preserve">обирати темп і шлях навчання.</w:t>
              <w:br w:type="textWrapping"/>
            </w:r>
            <w:r w:rsidDel="00000000" w:rsidR="00000000" w:rsidRPr="00000000">
              <w:rPr>
                <w:rFonts w:ascii="Times New Roman" w:cs="Times New Roman" w:eastAsia="Times New Roman" w:hAnsi="Times New Roman"/>
                <w:b w:val="1"/>
                <w:bCs w:val="1"/>
                <w:sz w:val="28"/>
                <w:szCs w:val="28"/>
                <w:rtl w:val="0"/>
              </w:rPr>
              <w:t xml:space="preserve">Низька потреба у Зв'язку:</w:t>
            </w:r>
            <w:r w:rsidDel="00000000" w:rsidR="00000000" w:rsidRPr="00000000">
              <w:rPr>
                <w:rFonts w:ascii="Times New Roman" w:cs="Times New Roman" w:eastAsia="Times New Roman" w:hAnsi="Times New Roman"/>
                <w:sz w:val="28"/>
                <w:szCs w:val="28"/>
                <w:rtl w:val="0"/>
              </w:rPr>
              <w:t xml:space="preserve"> Соціальні функції не є </w:t>
              <w:br w:type="textWrapping"/>
              <w:t xml:space="preserve">пріоритетом.</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Мотиватори (Octalysis)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Core Drive #2 (Розвиток і Досягнення):</w:t>
            </w:r>
            <w:r w:rsidDel="00000000" w:rsidR="00000000" w:rsidRPr="00000000">
              <w:rPr>
                <w:rFonts w:ascii="Times New Roman" w:cs="Times New Roman" w:eastAsia="Times New Roman" w:hAnsi="Times New Roman"/>
                <w:sz w:val="28"/>
                <w:szCs w:val="28"/>
                <w:rtl w:val="0"/>
              </w:rPr>
              <w:t xml:space="preserve"> Мотивується </w:t>
              <w:br w:type="textWrapping"/>
              <w:t xml:space="preserve">балами, бейджами, сертифікатами та чітким прогрес-баром.</w:t>
            </w:r>
          </w:p>
          <w:p w:rsidR="00000000" w:rsidDel="00000000" w:rsidP="00000000" w:rsidRDefault="00000000" w:rsidRPr="00000000" w14:paraId="00000103">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Core Drive #3 (Розкриття творчості):</w:t>
            </w:r>
            <w:r w:rsidDel="00000000" w:rsidR="00000000" w:rsidRPr="00000000">
              <w:rPr>
                <w:rFonts w:ascii="Times New Roman" w:cs="Times New Roman" w:eastAsia="Times New Roman" w:hAnsi="Times New Roman"/>
                <w:sz w:val="28"/>
                <w:szCs w:val="28"/>
                <w:rtl w:val="0"/>
              </w:rPr>
              <w:t xml:space="preserve"> Мотивується, </w:t>
              <w:br w:type="textWrapping"/>
              <w:t xml:space="preserve">якщо може застосувати знання </w:t>
              <w:br w:type="textWrapping"/>
              <w:t xml:space="preserve">(напр., вирішити складну задачу).</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Фрустрації (Блокери)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Нечіткі інструкції; відсутність вимірного прогресу; обов'язкові, але непотрібні соціальні завдання.</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Цільові </w:t>
              <w:br w:type="textWrapping"/>
              <w:t xml:space="preserve">Механіки</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numPr>
                <w:ilvl w:val="0"/>
                <w:numId w:val="22"/>
              </w:numPr>
              <w:spacing w:after="0" w:afterAutospacing="0" w:lineRule="auto"/>
              <w:ind w:left="566.9291338582675"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Прогрес-бар курсу</w:t>
            </w:r>
          </w:p>
          <w:p w:rsidR="00000000" w:rsidDel="00000000" w:rsidP="00000000" w:rsidRDefault="00000000" w:rsidRPr="00000000" w14:paraId="00000108">
            <w:pPr>
              <w:numPr>
                <w:ilvl w:val="0"/>
                <w:numId w:val="22"/>
              </w:numPr>
              <w:spacing w:after="0" w:afterAutospacing="0" w:lineRule="auto"/>
              <w:ind w:left="566.9291338582675"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Бейджі за проходження модулів</w:t>
            </w:r>
          </w:p>
          <w:p w:rsidR="00000000" w:rsidDel="00000000" w:rsidP="00000000" w:rsidRDefault="00000000" w:rsidRPr="00000000" w14:paraId="00000109">
            <w:pPr>
              <w:numPr>
                <w:ilvl w:val="0"/>
                <w:numId w:val="22"/>
              </w:numPr>
              <w:spacing w:after="0" w:afterAutospacing="0" w:lineRule="auto"/>
              <w:ind w:left="566.9291338582675"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"Дерево навичок" (Skill Tree)</w:t>
            </w:r>
          </w:p>
          <w:p w:rsidR="00000000" w:rsidDel="00000000" w:rsidP="00000000" w:rsidRDefault="00000000" w:rsidRPr="00000000" w14:paraId="0000010A">
            <w:pPr>
              <w:numPr>
                <w:ilvl w:val="0"/>
                <w:numId w:val="22"/>
              </w:numPr>
              <w:spacing w:after="480" w:lineRule="auto"/>
              <w:ind w:left="566.9291338582675"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Тести/Квізи</w:t>
            </w:r>
          </w:p>
        </w:tc>
      </w:tr>
    </w:tbl>
    <w:p w:rsidR="00000000" w:rsidDel="00000000" w:rsidP="00000000" w:rsidRDefault="00000000" w:rsidRPr="00000000" w14:paraId="0000010B">
      <w:pPr>
        <w:pStyle w:val="Heading3"/>
        <w:spacing w:after="240" w:before="240" w:line="360" w:lineRule="auto"/>
        <w:ind w:left="283.46456692913375" w:right="-844.7244094488178" w:firstLine="0"/>
        <w:rPr>
          <w:rFonts w:ascii="Times New Roman" w:cs="Times New Roman" w:eastAsia="Times New Roman" w:hAnsi="Times New Roman"/>
          <w:b w:val="1"/>
          <w:bCs w:val="1"/>
          <w:color w:val="000000"/>
        </w:rPr>
      </w:pPr>
      <w:bookmarkStart w:colFirst="0" w:colLast="0" w:name="_payc8xuz192o" w:id="21"/>
      <w:bookmarkEnd w:id="21"/>
      <w:r w:rsidDel="00000000" w:rsidR="00000000" w:rsidRPr="00000000">
        <w:rPr>
          <w:rFonts w:ascii="Times New Roman" w:cs="Times New Roman" w:eastAsia="Times New Roman" w:hAnsi="Times New Roman"/>
          <w:b w:val="1"/>
          <w:bCs w:val="1"/>
          <w:color w:val="000000"/>
          <w:rtl w:val="0"/>
        </w:rPr>
        <w:t xml:space="preserve">3.3.2 </w:t>
      </w:r>
      <w:r w:rsidDel="00000000" w:rsidR="00000000" w:rsidRPr="00000000">
        <w:rPr>
          <w:rFonts w:ascii="Times New Roman" w:cs="Times New Roman" w:eastAsia="Times New Roman" w:hAnsi="Times New Roman"/>
          <w:b w:val="1"/>
          <w:bCs w:val="1"/>
          <w:color w:val="000000"/>
          <w:rtl w:val="0"/>
        </w:rPr>
        <w:t xml:space="preserve">Артефакт Сценарій гейміфікованого онбордингу</w:t>
      </w:r>
    </w:p>
    <w:p w:rsidR="00000000" w:rsidDel="00000000" w:rsidP="00000000" w:rsidRDefault="00000000" w:rsidRPr="00000000" w14:paraId="0000010C">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методології заміни традиційного CJM на "Gamified User Onboarding", був розроблений 5-кроковий сценарій першої сесії користувача.</w:t>
      </w:r>
    </w:p>
    <w:p w:rsidR="00000000" w:rsidDel="00000000" w:rsidP="00000000" w:rsidRDefault="00000000" w:rsidRPr="00000000" w14:paraId="0000010D">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Сценарій "Шлях Новачка"</w:t>
      </w:r>
    </w:p>
    <w:p w:rsidR="00000000" w:rsidDel="00000000" w:rsidP="00000000" w:rsidRDefault="00000000" w:rsidRPr="00000000" w14:paraId="0000010E">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1: "Привітальний Квест"</w:t>
      </w:r>
    </w:p>
    <w:p w:rsidR="00000000" w:rsidDel="00000000" w:rsidP="00000000" w:rsidRDefault="00000000" w:rsidRPr="00000000" w14:paraId="0000010F">
      <w:pPr>
        <w:numPr>
          <w:ilvl w:val="0"/>
          <w:numId w:val="13"/>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Дія користувача:</w:t>
      </w:r>
      <w:r w:rsidDel="00000000" w:rsidR="00000000" w:rsidRPr="00000000">
        <w:rPr>
          <w:rFonts w:ascii="Times New Roman" w:cs="Times New Roman" w:eastAsia="Times New Roman" w:hAnsi="Times New Roman"/>
          <w:sz w:val="28"/>
          <w:szCs w:val="28"/>
          <w:rtl w:val="0"/>
        </w:rPr>
        <w:t xml:space="preserve"> Вперше заходить у додаток.</w:t>
      </w:r>
    </w:p>
    <w:p w:rsidR="00000000" w:rsidDel="00000000" w:rsidP="00000000" w:rsidRDefault="00000000" w:rsidRPr="00000000" w14:paraId="00000110">
      <w:pPr>
        <w:numPr>
          <w:ilvl w:val="0"/>
          <w:numId w:val="13"/>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Інтерфейс:</w:t>
      </w:r>
      <w:r w:rsidDel="00000000" w:rsidR="00000000" w:rsidRPr="00000000">
        <w:rPr>
          <w:rFonts w:ascii="Times New Roman" w:cs="Times New Roman" w:eastAsia="Times New Roman" w:hAnsi="Times New Roman"/>
          <w:sz w:val="28"/>
          <w:szCs w:val="28"/>
          <w:rtl w:val="0"/>
        </w:rPr>
        <w:t xml:space="preserve"> Спливаюче вікно: "Вітаємо! Ваш перший квест: Заповніть свій профіль на 100%".</w:t>
      </w:r>
    </w:p>
    <w:p w:rsidR="00000000" w:rsidDel="00000000" w:rsidP="00000000" w:rsidRDefault="00000000" w:rsidRPr="00000000" w14:paraId="00000111">
      <w:pPr>
        <w:numPr>
          <w:ilvl w:val="0"/>
          <w:numId w:val="13"/>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Механіка:</w:t>
      </w:r>
      <w:r w:rsidDel="00000000" w:rsidR="00000000" w:rsidRPr="00000000">
        <w:rPr>
          <w:rFonts w:ascii="Times New Roman" w:cs="Times New Roman" w:eastAsia="Times New Roman" w:hAnsi="Times New Roman"/>
          <w:sz w:val="28"/>
          <w:szCs w:val="28"/>
          <w:rtl w:val="0"/>
        </w:rPr>
        <w:t xml:space="preserve"> Прогрес-бар (0% -&gt; 100%).</w:t>
      </w:r>
    </w:p>
    <w:p w:rsidR="00000000" w:rsidDel="00000000" w:rsidP="00000000" w:rsidRDefault="00000000" w:rsidRPr="00000000" w14:paraId="00000112">
      <w:pPr>
        <w:numPr>
          <w:ilvl w:val="0"/>
          <w:numId w:val="13"/>
        </w:numPr>
        <w:spacing w:after="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Мотиваційна мета (Octalysis):</w:t>
      </w:r>
      <w:r w:rsidDel="00000000" w:rsidR="00000000" w:rsidRPr="00000000">
        <w:rPr>
          <w:rFonts w:ascii="Times New Roman" w:cs="Times New Roman" w:eastAsia="Times New Roman" w:hAnsi="Times New Roman"/>
          <w:sz w:val="28"/>
          <w:szCs w:val="28"/>
          <w:rtl w:val="0"/>
        </w:rPr>
        <w:t xml:space="preserve"> Core Drive #2 (Розвиток). Дати користувачу перше "легке" завдання, щоб він одразу відчув себе компетентним (SDT).</w:t>
      </w:r>
    </w:p>
    <w:p w:rsidR="00000000" w:rsidDel="00000000" w:rsidP="00000000" w:rsidRDefault="00000000" w:rsidRPr="00000000" w14:paraId="00000113">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2: "Перша Нагорода"</w:t>
      </w:r>
    </w:p>
    <w:p w:rsidR="00000000" w:rsidDel="00000000" w:rsidP="00000000" w:rsidRDefault="00000000" w:rsidRPr="00000000" w14:paraId="00000115">
      <w:pPr>
        <w:numPr>
          <w:ilvl w:val="0"/>
          <w:numId w:val="20"/>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Дія користувача:</w:t>
      </w:r>
      <w:r w:rsidDel="00000000" w:rsidR="00000000" w:rsidRPr="00000000">
        <w:rPr>
          <w:rFonts w:ascii="Times New Roman" w:cs="Times New Roman" w:eastAsia="Times New Roman" w:hAnsi="Times New Roman"/>
          <w:sz w:val="28"/>
          <w:szCs w:val="28"/>
          <w:rtl w:val="0"/>
        </w:rPr>
        <w:t xml:space="preserve"> Завершує заповнення профілю.</w:t>
      </w:r>
    </w:p>
    <w:p w:rsidR="00000000" w:rsidDel="00000000" w:rsidP="00000000" w:rsidRDefault="00000000" w:rsidRPr="00000000" w14:paraId="00000116">
      <w:pPr>
        <w:numPr>
          <w:ilvl w:val="0"/>
          <w:numId w:val="20"/>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Інтерфейс:</w:t>
      </w:r>
      <w:r w:rsidDel="00000000" w:rsidR="00000000" w:rsidRPr="00000000">
        <w:rPr>
          <w:rFonts w:ascii="Times New Roman" w:cs="Times New Roman" w:eastAsia="Times New Roman" w:hAnsi="Times New Roman"/>
          <w:sz w:val="28"/>
          <w:szCs w:val="28"/>
          <w:rtl w:val="0"/>
        </w:rPr>
        <w:t xml:space="preserve"> Анімація "Профіль заповнено!" та "Ви отримали +50 очок!".</w:t>
      </w:r>
    </w:p>
    <w:p w:rsidR="00000000" w:rsidDel="00000000" w:rsidP="00000000" w:rsidRDefault="00000000" w:rsidRPr="00000000" w14:paraId="00000117">
      <w:pPr>
        <w:numPr>
          <w:ilvl w:val="0"/>
          <w:numId w:val="20"/>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Механіка:</w:t>
      </w:r>
      <w:r w:rsidDel="00000000" w:rsidR="00000000" w:rsidRPr="00000000">
        <w:rPr>
          <w:rFonts w:ascii="Times New Roman" w:cs="Times New Roman" w:eastAsia="Times New Roman" w:hAnsi="Times New Roman"/>
          <w:sz w:val="28"/>
          <w:szCs w:val="28"/>
          <w:rtl w:val="0"/>
        </w:rPr>
        <w:t xml:space="preserve"> Очки (Points).</w:t>
      </w:r>
    </w:p>
    <w:p w:rsidR="00000000" w:rsidDel="00000000" w:rsidP="00000000" w:rsidRDefault="00000000" w:rsidRPr="00000000" w14:paraId="00000118">
      <w:pPr>
        <w:numPr>
          <w:ilvl w:val="0"/>
          <w:numId w:val="20"/>
        </w:numPr>
        <w:spacing w:after="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Мотиваційна мета (Octalysis):</w:t>
      </w:r>
      <w:r w:rsidDel="00000000" w:rsidR="00000000" w:rsidRPr="00000000">
        <w:rPr>
          <w:rFonts w:ascii="Times New Roman" w:cs="Times New Roman" w:eastAsia="Times New Roman" w:hAnsi="Times New Roman"/>
          <w:sz w:val="28"/>
          <w:szCs w:val="28"/>
          <w:rtl w:val="0"/>
        </w:rPr>
        <w:t xml:space="preserve"> Core Drive #2 (Досягнення). Миттєвий позитивний відгук на дію.</w:t>
      </w:r>
    </w:p>
    <w:p w:rsidR="00000000" w:rsidDel="00000000" w:rsidP="00000000" w:rsidRDefault="00000000" w:rsidRPr="00000000" w14:paraId="00000119">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3: "Вибір Шляху"</w:t>
      </w:r>
    </w:p>
    <w:p w:rsidR="00000000" w:rsidDel="00000000" w:rsidP="00000000" w:rsidRDefault="00000000" w:rsidRPr="00000000" w14:paraId="0000011A">
      <w:pPr>
        <w:numPr>
          <w:ilvl w:val="0"/>
          <w:numId w:val="11"/>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Дія користувача:</w:t>
      </w:r>
      <w:r w:rsidDel="00000000" w:rsidR="00000000" w:rsidRPr="00000000">
        <w:rPr>
          <w:rFonts w:ascii="Times New Roman" w:cs="Times New Roman" w:eastAsia="Times New Roman" w:hAnsi="Times New Roman"/>
          <w:sz w:val="28"/>
          <w:szCs w:val="28"/>
          <w:rtl w:val="0"/>
        </w:rPr>
        <w:t xml:space="preserve"> Система пропонує обрати мету (напр., "Вивчити React" або "Стати QA").</w:t>
      </w:r>
    </w:p>
    <w:p w:rsidR="00000000" w:rsidDel="00000000" w:rsidP="00000000" w:rsidRDefault="00000000" w:rsidRPr="00000000" w14:paraId="0000011B">
      <w:pPr>
        <w:numPr>
          <w:ilvl w:val="0"/>
          <w:numId w:val="11"/>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Інтерфейс:</w:t>
      </w:r>
      <w:r w:rsidDel="00000000" w:rsidR="00000000" w:rsidRPr="00000000">
        <w:rPr>
          <w:rFonts w:ascii="Times New Roman" w:cs="Times New Roman" w:eastAsia="Times New Roman" w:hAnsi="Times New Roman"/>
          <w:sz w:val="28"/>
          <w:szCs w:val="28"/>
          <w:rtl w:val="0"/>
        </w:rPr>
        <w:t xml:space="preserve"> Дві або три картки вибору.</w:t>
      </w:r>
    </w:p>
    <w:p w:rsidR="00000000" w:rsidDel="00000000" w:rsidP="00000000" w:rsidRDefault="00000000" w:rsidRPr="00000000" w14:paraId="0000011C">
      <w:pPr>
        <w:numPr>
          <w:ilvl w:val="0"/>
          <w:numId w:val="11"/>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Механіка:</w:t>
      </w:r>
      <w:r w:rsidDel="00000000" w:rsidR="00000000" w:rsidRPr="00000000">
        <w:rPr>
          <w:rFonts w:ascii="Times New Roman" w:cs="Times New Roman" w:eastAsia="Times New Roman" w:hAnsi="Times New Roman"/>
          <w:sz w:val="28"/>
          <w:szCs w:val="28"/>
          <w:rtl w:val="0"/>
        </w:rPr>
        <w:t xml:space="preserve"> Вибір (Choice).</w:t>
      </w:r>
    </w:p>
    <w:p w:rsidR="00000000" w:rsidDel="00000000" w:rsidP="00000000" w:rsidRDefault="00000000" w:rsidRPr="00000000" w14:paraId="0000011D">
      <w:pPr>
        <w:numPr>
          <w:ilvl w:val="0"/>
          <w:numId w:val="11"/>
        </w:numPr>
        <w:spacing w:after="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Мотиваційна мета (SDT):</w:t>
      </w:r>
      <w:r w:rsidDel="00000000" w:rsidR="00000000" w:rsidRPr="00000000">
        <w:rPr>
          <w:rFonts w:ascii="Times New Roman" w:cs="Times New Roman" w:eastAsia="Times New Roman" w:hAnsi="Times New Roman"/>
          <w:sz w:val="28"/>
          <w:szCs w:val="28"/>
          <w:rtl w:val="0"/>
        </w:rPr>
        <w:t xml:space="preserve"> Задовольнити потребу в </w:t>
      </w:r>
      <w:r w:rsidDel="00000000" w:rsidR="00000000" w:rsidRPr="00000000">
        <w:rPr>
          <w:rFonts w:ascii="Times New Roman" w:cs="Times New Roman" w:eastAsia="Times New Roman" w:hAnsi="Times New Roman"/>
          <w:b w:val="1"/>
          <w:bCs w:val="1"/>
          <w:sz w:val="28"/>
          <w:szCs w:val="28"/>
          <w:rtl w:val="0"/>
        </w:rPr>
        <w:t xml:space="preserve">Автономії</w:t>
      </w:r>
      <w:r w:rsidDel="00000000" w:rsidR="00000000" w:rsidRPr="00000000">
        <w:rPr>
          <w:rFonts w:ascii="Times New Roman" w:cs="Times New Roman" w:eastAsia="Times New Roman" w:hAnsi="Times New Roman"/>
          <w:sz w:val="28"/>
          <w:szCs w:val="28"/>
          <w:rtl w:val="0"/>
        </w:rPr>
        <w:t xml:space="preserve">. Користувач відчуває, що він контролює своє навчання.</w:t>
      </w:r>
    </w:p>
    <w:p w:rsidR="00000000" w:rsidDel="00000000" w:rsidP="00000000" w:rsidRDefault="00000000" w:rsidRPr="00000000" w14:paraId="0000011E">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4: "Перший Бейдж"</w:t>
      </w:r>
    </w:p>
    <w:p w:rsidR="00000000" w:rsidDel="00000000" w:rsidP="00000000" w:rsidRDefault="00000000" w:rsidRPr="00000000" w14:paraId="0000011F">
      <w:pPr>
        <w:numPr>
          <w:ilvl w:val="0"/>
          <w:numId w:val="16"/>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Дія користувача:</w:t>
      </w:r>
      <w:r w:rsidDel="00000000" w:rsidR="00000000" w:rsidRPr="00000000">
        <w:rPr>
          <w:rFonts w:ascii="Times New Roman" w:cs="Times New Roman" w:eastAsia="Times New Roman" w:hAnsi="Times New Roman"/>
          <w:sz w:val="28"/>
          <w:szCs w:val="28"/>
          <w:rtl w:val="0"/>
        </w:rPr>
        <w:t xml:space="preserve"> Обирає свій шлях.</w:t>
      </w:r>
    </w:p>
    <w:p w:rsidR="00000000" w:rsidDel="00000000" w:rsidP="00000000" w:rsidRDefault="00000000" w:rsidRPr="00000000" w14:paraId="00000120">
      <w:pPr>
        <w:numPr>
          <w:ilvl w:val="0"/>
          <w:numId w:val="16"/>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Інтерфейс:</w:t>
      </w:r>
      <w:r w:rsidDel="00000000" w:rsidR="00000000" w:rsidRPr="00000000">
        <w:rPr>
          <w:rFonts w:ascii="Times New Roman" w:cs="Times New Roman" w:eastAsia="Times New Roman" w:hAnsi="Times New Roman"/>
          <w:sz w:val="28"/>
          <w:szCs w:val="28"/>
          <w:rtl w:val="0"/>
        </w:rPr>
        <w:t xml:space="preserve"> Анімація: "Ви отримали бейдж 'Новачок React'!".</w:t>
      </w:r>
    </w:p>
    <w:p w:rsidR="00000000" w:rsidDel="00000000" w:rsidP="00000000" w:rsidRDefault="00000000" w:rsidRPr="00000000" w14:paraId="00000121">
      <w:pPr>
        <w:numPr>
          <w:ilvl w:val="0"/>
          <w:numId w:val="16"/>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Механіка:</w:t>
      </w:r>
      <w:r w:rsidDel="00000000" w:rsidR="00000000" w:rsidRPr="00000000">
        <w:rPr>
          <w:rFonts w:ascii="Times New Roman" w:cs="Times New Roman" w:eastAsia="Times New Roman" w:hAnsi="Times New Roman"/>
          <w:sz w:val="28"/>
          <w:szCs w:val="28"/>
          <w:rtl w:val="0"/>
        </w:rPr>
        <w:t xml:space="preserve"> Бейдж (Badge).</w:t>
      </w:r>
    </w:p>
    <w:p w:rsidR="00000000" w:rsidDel="00000000" w:rsidP="00000000" w:rsidRDefault="00000000" w:rsidRPr="00000000" w14:paraId="00000122">
      <w:pPr>
        <w:numPr>
          <w:ilvl w:val="0"/>
          <w:numId w:val="16"/>
        </w:numPr>
        <w:spacing w:after="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Мотиваційна мета (Octalysis):</w:t>
      </w:r>
      <w:r w:rsidDel="00000000" w:rsidR="00000000" w:rsidRPr="00000000">
        <w:rPr>
          <w:rFonts w:ascii="Times New Roman" w:cs="Times New Roman" w:eastAsia="Times New Roman" w:hAnsi="Times New Roman"/>
          <w:sz w:val="28"/>
          <w:szCs w:val="28"/>
          <w:rtl w:val="0"/>
        </w:rPr>
        <w:t xml:space="preserve"> Core Drive #1 (Епічна місія). Це маркує початок "великої подорожі".</w:t>
      </w:r>
      <w:r w:rsidDel="00000000" w:rsidR="00000000" w:rsidRPr="00000000">
        <w:rPr>
          <w:rtl w:val="0"/>
        </w:rPr>
      </w:r>
    </w:p>
    <w:p w:rsidR="00000000" w:rsidDel="00000000" w:rsidP="00000000" w:rsidRDefault="00000000" w:rsidRPr="00000000" w14:paraId="00000123">
      <w:pPr>
        <w:spacing w:after="240" w:lineRule="auto"/>
        <w:ind w:left="283.46456692913375" w:right="-844.72440944881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Крок 5: "Соціальне Підтвердження" (Опційно)</w:t>
      </w:r>
    </w:p>
    <w:p w:rsidR="00000000" w:rsidDel="00000000" w:rsidP="00000000" w:rsidRDefault="00000000" w:rsidRPr="00000000" w14:paraId="00000124">
      <w:pPr>
        <w:numPr>
          <w:ilvl w:val="0"/>
          <w:numId w:val="27"/>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Дія користувача:</w:t>
      </w:r>
      <w:r w:rsidDel="00000000" w:rsidR="00000000" w:rsidRPr="00000000">
        <w:rPr>
          <w:rFonts w:ascii="Times New Roman" w:cs="Times New Roman" w:eastAsia="Times New Roman" w:hAnsi="Times New Roman"/>
          <w:sz w:val="28"/>
          <w:szCs w:val="28"/>
          <w:rtl w:val="0"/>
        </w:rPr>
        <w:t xml:space="preserve"> Система пропонує поділитися бейджем.</w:t>
      </w:r>
    </w:p>
    <w:p w:rsidR="00000000" w:rsidDel="00000000" w:rsidP="00000000" w:rsidRDefault="00000000" w:rsidRPr="00000000" w14:paraId="00000125">
      <w:pPr>
        <w:numPr>
          <w:ilvl w:val="0"/>
          <w:numId w:val="27"/>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Інтерфейс:</w:t>
      </w:r>
      <w:r w:rsidDel="00000000" w:rsidR="00000000" w:rsidRPr="00000000">
        <w:rPr>
          <w:rFonts w:ascii="Times New Roman" w:cs="Times New Roman" w:eastAsia="Times New Roman" w:hAnsi="Times New Roman"/>
          <w:sz w:val="28"/>
          <w:szCs w:val="28"/>
          <w:rtl w:val="0"/>
        </w:rPr>
        <w:t xml:space="preserve"> Кнопка "Поділитися успіхом".</w:t>
      </w:r>
    </w:p>
    <w:p w:rsidR="00000000" w:rsidDel="00000000" w:rsidP="00000000" w:rsidRDefault="00000000" w:rsidRPr="00000000" w14:paraId="00000126">
      <w:pPr>
        <w:numPr>
          <w:ilvl w:val="0"/>
          <w:numId w:val="27"/>
        </w:numPr>
        <w:spacing w:after="0" w:after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Механіка:</w:t>
      </w:r>
      <w:r w:rsidDel="00000000" w:rsidR="00000000" w:rsidRPr="00000000">
        <w:rPr>
          <w:rFonts w:ascii="Times New Roman" w:cs="Times New Roman" w:eastAsia="Times New Roman" w:hAnsi="Times New Roman"/>
          <w:sz w:val="28"/>
          <w:szCs w:val="28"/>
          <w:rtl w:val="0"/>
        </w:rPr>
        <w:t xml:space="preserve"> Соціальний елемент.</w:t>
      </w:r>
    </w:p>
    <w:p w:rsidR="00000000" w:rsidDel="00000000" w:rsidP="00000000" w:rsidRDefault="00000000" w:rsidRPr="00000000" w14:paraId="00000127">
      <w:pPr>
        <w:numPr>
          <w:ilvl w:val="0"/>
          <w:numId w:val="27"/>
        </w:numPr>
        <w:spacing w:after="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Мотиваційна мета (SDT):</w:t>
      </w:r>
      <w:r w:rsidDel="00000000" w:rsidR="00000000" w:rsidRPr="00000000">
        <w:rPr>
          <w:rFonts w:ascii="Times New Roman" w:cs="Times New Roman" w:eastAsia="Times New Roman" w:hAnsi="Times New Roman"/>
          <w:sz w:val="28"/>
          <w:szCs w:val="28"/>
          <w:rtl w:val="0"/>
        </w:rPr>
        <w:t xml:space="preserve"> Задовольнити потребу у </w:t>
      </w:r>
      <w:r w:rsidDel="00000000" w:rsidR="00000000" w:rsidRPr="00000000">
        <w:rPr>
          <w:rFonts w:ascii="Times New Roman" w:cs="Times New Roman" w:eastAsia="Times New Roman" w:hAnsi="Times New Roman"/>
          <w:b w:val="1"/>
          <w:bCs w:val="1"/>
          <w:sz w:val="28"/>
          <w:szCs w:val="28"/>
          <w:rtl w:val="0"/>
        </w:rPr>
        <w:t xml:space="preserve">Зв'язку</w:t>
      </w:r>
      <w:r w:rsidDel="00000000" w:rsidR="00000000" w:rsidRPr="00000000">
        <w:rPr>
          <w:rFonts w:ascii="Times New Roman" w:cs="Times New Roman" w:eastAsia="Times New Roman" w:hAnsi="Times New Roman"/>
          <w:sz w:val="28"/>
          <w:szCs w:val="28"/>
          <w:rtl w:val="0"/>
        </w:rPr>
        <w:t xml:space="preserve"> (Relatedness).</w:t>
      </w:r>
    </w:p>
    <w:p w:rsidR="00000000" w:rsidDel="00000000" w:rsidP="00000000" w:rsidRDefault="00000000" w:rsidRPr="00000000" w14:paraId="0000012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pacing w:after="20" w:before="280" w:line="360" w:lineRule="auto"/>
        <w:ind w:left="283.46456692913375" w:right="-844.7244094488178" w:firstLine="0"/>
        <w:rPr>
          <w:rFonts w:ascii="Times New Roman" w:cs="Times New Roman" w:eastAsia="Times New Roman" w:hAnsi="Times New Roman"/>
          <w:b w:val="1"/>
          <w:bCs w:val="1"/>
          <w:sz w:val="28"/>
          <w:szCs w:val="28"/>
        </w:rPr>
      </w:pPr>
      <w:bookmarkStart w:colFirst="0" w:colLast="0" w:name="_uv3abvp685td" w:id="22"/>
      <w:bookmarkEnd w:id="22"/>
      <w:r w:rsidDel="00000000" w:rsidR="00000000" w:rsidRPr="00000000">
        <w:rPr>
          <w:rFonts w:ascii="Times New Roman" w:cs="Times New Roman" w:eastAsia="Times New Roman" w:hAnsi="Times New Roman"/>
          <w:b w:val="1"/>
          <w:bCs w:val="1"/>
          <w:sz w:val="28"/>
          <w:szCs w:val="28"/>
          <w:rtl w:val="0"/>
        </w:rPr>
        <w:t xml:space="preserve">3.4. План валідації запропонованої методології</w:t>
      </w:r>
    </w:p>
    <w:p w:rsidR="00000000" w:rsidDel="00000000" w:rsidP="00000000" w:rsidRDefault="00000000" w:rsidRPr="00000000" w14:paraId="00000129">
      <w:pPr>
        <w:keepNext w:val="0"/>
        <w:keepLines w:val="0"/>
        <w:pBdr>
          <w:top w:color="e2e8f0" w:space="0" w:sz="0" w:val="none"/>
          <w:left w:color="e2e8f0" w:space="0" w:sz="0" w:val="none"/>
          <w:bottom w:color="e2e8f0" w:space="0" w:sz="0" w:val="none"/>
          <w:right w:color="e2e8f0" w:space="0" w:sz="0" w:val="none"/>
          <w:between w:color="e2e8f0" w:space="0" w:sz="0" w:val="none"/>
        </w:pBdr>
        <w:spacing w:after="240" w:before="1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Розроблені артефакти — персони та сценарії онбордингу — наразі залишаються гіпотезами, які ще необхідно перевірити на практиці. </w:t>
      </w:r>
    </w:p>
    <w:p w:rsidR="00000000" w:rsidDel="00000000" w:rsidP="00000000" w:rsidRDefault="00000000" w:rsidRPr="00000000" w14:paraId="0000012A">
      <w:pPr>
        <w:keepNext w:val="0"/>
        <w:keepLines w:val="0"/>
        <w:pBdr>
          <w:top w:color="e2e8f0" w:space="0" w:sz="0" w:val="none"/>
          <w:left w:color="e2e8f0" w:space="0" w:sz="0" w:val="none"/>
          <w:bottom w:color="e2e8f0" w:space="0" w:sz="0" w:val="none"/>
          <w:right w:color="e2e8f0" w:space="0" w:sz="0" w:val="none"/>
          <w:between w:color="e2e8f0" w:space="0" w:sz="0" w:val="none"/>
        </w:pBdr>
        <w:spacing w:after="240" w:before="1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Останній крок методології — це валідація, тобто оцінка того, наскільки гейміфікований дизайн справді впливає на мотивацію користувачів і чи працює він так, як задумано.</w:t>
      </w:r>
    </w:p>
    <w:p w:rsidR="00000000" w:rsidDel="00000000" w:rsidP="00000000" w:rsidRDefault="00000000" w:rsidRPr="00000000" w14:paraId="0000012B">
      <w:pPr>
        <w:keepNext w:val="0"/>
        <w:keepLines w:val="0"/>
        <w:pBdr>
          <w:top w:color="e2e8f0" w:space="0" w:sz="0" w:val="none"/>
          <w:left w:color="e2e8f0" w:space="0" w:sz="0" w:val="none"/>
          <w:bottom w:color="e2e8f0" w:space="0" w:sz="0" w:val="none"/>
          <w:right w:color="e2e8f0" w:space="0" w:sz="0" w:val="none"/>
          <w:between w:color="e2e8f0" w:space="0" w:sz="0" w:val="none"/>
        </w:pBdr>
        <w:spacing w:after="240" w:before="1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Замість створення власного, ще не перевіреного опитувальника, ми звернулися до академічних стандартів і обрали вже валідовані психометричні інструменти. Для цього було проаналізовано існуючі опитувальники, які вже встигли зарекомендувати себе у подібних дослідженнях як надійні.</w:t>
      </w:r>
    </w:p>
    <w:p w:rsidR="00000000" w:rsidDel="00000000" w:rsidP="00000000" w:rsidRDefault="00000000" w:rsidRPr="00000000" w14:paraId="0000012C">
      <w:pPr>
        <w:keepNext w:val="0"/>
        <w:keepLines w:val="0"/>
        <w:pBdr>
          <w:top w:color="e2e8f0" w:space="0" w:sz="0" w:val="none"/>
          <w:left w:color="e2e8f0" w:space="0" w:sz="0" w:val="none"/>
          <w:bottom w:color="e2e8f0" w:space="0" w:sz="0" w:val="none"/>
          <w:right w:color="e2e8f0" w:space="0" w:sz="0" w:val="none"/>
          <w:between w:color="e2e8f0" w:space="0" w:sz="0" w:val="none"/>
        </w:pBdr>
        <w:spacing w:after="240" w:before="1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вивчення літератури ми дійшли висновку, що найкраще поєднати такі інструменти для оцінки дизайну:</w:t>
      </w:r>
    </w:p>
    <w:p w:rsidR="00000000" w:rsidDel="00000000" w:rsidP="00000000" w:rsidRDefault="00000000" w:rsidRPr="00000000" w14:paraId="0000012D">
      <w:pPr>
        <w:keepNext w:val="0"/>
        <w:keepLines w:val="0"/>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14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Player Experience of Need Satisfaction (PENS): Цей опитувальник допомагає виміряти, наскільки добре користувачі відчувають задоволення трьох ключових потреб за SDT — автономії, компетентності та зв’язку. Саме ці потреби лежать в основі нашої методології.</w:t>
      </w:r>
    </w:p>
    <w:p w:rsidR="00000000" w:rsidDel="00000000" w:rsidP="00000000" w:rsidRDefault="00000000" w:rsidRPr="00000000" w14:paraId="0000012E">
      <w:pPr>
        <w:keepNext w:val="0"/>
        <w:keepLines w:val="0"/>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Gameful Experience Questionnaire (GAMEFULQUEST): За допомогою цього інструменту можна оцінити загальний "ігровий досвід" користувачів і зрозуміти, чи спрацювали вибрані механіки відповідно до фреймворку Octalysis.</w:t>
      </w:r>
    </w:p>
    <w:p w:rsidR="00000000" w:rsidDel="00000000" w:rsidP="00000000" w:rsidRDefault="00000000" w:rsidRPr="00000000" w14:paraId="0000012F">
      <w:pPr>
        <w:keepNext w:val="0"/>
        <w:keepLines w:val="0"/>
        <w:numPr>
          <w:ilvl w:val="0"/>
          <w:numId w:val="6"/>
        </w:numPr>
        <w:pBdr>
          <w:top w:color="e2e8f0" w:space="0" w:sz="0" w:val="none"/>
          <w:left w:color="e2e8f0" w:space="0" w:sz="0" w:val="none"/>
          <w:bottom w:color="e2e8f0" w:space="0" w:sz="0" w:val="none"/>
          <w:right w:color="e2e8f0" w:space="0" w:sz="0" w:val="none"/>
          <w:between w:color="e2e8f0" w:space="0" w:sz="0" w:val="none"/>
        </w:pBdr>
        <w:spacing w:after="360" w:before="0" w:beforeAutospacing="0" w:line="36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MEEGA+: Це спеціалізований опитувальник для EdTech, який дозволяє визначити рівень самоефективності та залученості користувачів у навчальних додатках.</w:t>
      </w:r>
    </w:p>
    <w:p w:rsidR="00000000" w:rsidDel="00000000" w:rsidP="00000000" w:rsidRDefault="00000000" w:rsidRPr="00000000" w14:paraId="00000130">
      <w:pPr>
        <w:keepNext w:val="0"/>
        <w:keepLines w:val="0"/>
        <w:pBdr>
          <w:top w:color="e2e8f0" w:space="0" w:sz="0" w:val="none"/>
          <w:left w:color="e2e8f0" w:space="0" w:sz="0" w:val="none"/>
          <w:bottom w:color="e2e8f0" w:space="0" w:sz="0" w:val="none"/>
          <w:right w:color="e2e8f0" w:space="0" w:sz="0" w:val="none"/>
          <w:between w:color="e2e8f0" w:space="0" w:sz="0" w:val="none"/>
        </w:pBdr>
        <w:spacing w:after="240" w:before="1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Детальніше про ці інструменти, їхні шкали та приклади запитань описано у Додатку А до цього звіту.</w:t>
      </w:r>
    </w:p>
    <w:p w:rsidR="00000000" w:rsidDel="00000000" w:rsidP="00000000" w:rsidRDefault="00000000" w:rsidRPr="00000000" w14:paraId="00000131">
      <w:pPr>
        <w:pStyle w:val="Heading1"/>
        <w:keepNext w:val="0"/>
        <w:keepLines w:val="0"/>
        <w:spacing w:before="480" w:line="360" w:lineRule="auto"/>
        <w:ind w:left="283.46456692913375" w:right="-844.7244094488178" w:firstLine="0"/>
        <w:jc w:val="center"/>
        <w:rPr>
          <w:rFonts w:ascii="Times New Roman" w:cs="Times New Roman" w:eastAsia="Times New Roman" w:hAnsi="Times New Roman"/>
          <w:b w:val="1"/>
          <w:bCs w:val="1"/>
          <w:sz w:val="28"/>
          <w:szCs w:val="28"/>
        </w:rPr>
      </w:pPr>
      <w:bookmarkStart w:colFirst="0" w:colLast="0" w:name="_ubfhln99zrcv" w:id="23"/>
      <w:bookmarkEnd w:id="23"/>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keepNext w:val="0"/>
        <w:keepLines w:val="0"/>
        <w:spacing w:before="480" w:line="360" w:lineRule="auto"/>
        <w:ind w:left="283.46456692913375" w:right="-844.7244094488178" w:firstLine="0"/>
        <w:jc w:val="center"/>
        <w:rPr>
          <w:rFonts w:ascii="Times New Roman" w:cs="Times New Roman" w:eastAsia="Times New Roman" w:hAnsi="Times New Roman"/>
          <w:b w:val="1"/>
          <w:bCs w:val="1"/>
          <w:sz w:val="28"/>
          <w:szCs w:val="28"/>
        </w:rPr>
      </w:pPr>
      <w:bookmarkStart w:colFirst="0" w:colLast="0" w:name="_7gflzuvqb386" w:id="24"/>
      <w:bookmarkEnd w:id="24"/>
      <w:r w:rsidDel="00000000" w:rsidR="00000000" w:rsidRPr="00000000">
        <w:rPr>
          <w:rFonts w:ascii="Times New Roman" w:cs="Times New Roman" w:eastAsia="Times New Roman" w:hAnsi="Times New Roman"/>
          <w:b w:val="1"/>
          <w:bCs w:val="1"/>
          <w:sz w:val="28"/>
          <w:szCs w:val="28"/>
          <w:rtl w:val="0"/>
        </w:rPr>
        <w:t xml:space="preserve">ВИСНОВКИ</w:t>
      </w:r>
    </w:p>
    <w:p w:rsidR="00000000" w:rsidDel="00000000" w:rsidP="00000000" w:rsidRDefault="00000000" w:rsidRPr="00000000" w14:paraId="00000133">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проходження практики на базі ТОВ «ГОУ АЙТИ ЕДЬЮКЕЙШН» (GoIT) виконано всі завдання згідно з календарним планом.</w:t>
      </w:r>
    </w:p>
    <w:p w:rsidR="00000000" w:rsidDel="00000000" w:rsidP="00000000" w:rsidRDefault="00000000" w:rsidRPr="00000000" w14:paraId="00000134">
      <w:pPr>
        <w:numPr>
          <w:ilvl w:val="0"/>
          <w:numId w:val="5"/>
        </w:numPr>
        <w:spacing w:after="0" w:afterAutospacing="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Детально проаналізовано діяльність компанії GoIT, розглянуто її організаційну структуру, освітні продукти та стратегічне місце на ринку EdTech України. Такий підхід допоміг глибше зрозуміти бізнес-контекст, у якому виникає потреба впровадження гейміфікації.</w:t>
      </w:r>
    </w:p>
    <w:p w:rsidR="00000000" w:rsidDel="00000000" w:rsidP="00000000" w:rsidRDefault="00000000" w:rsidRPr="00000000" w14:paraId="00000135">
      <w:pPr>
        <w:numPr>
          <w:ilvl w:val="0"/>
          <w:numId w:val="5"/>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Проведено ретельний огляд академічної літератури і створено основні теорії мотивації. Виявилося, що Теорія Самодетермінації (SDT) формує базу для розуміння мотивації, а фреймворк Octalysis пропонує практичні інструменти для створення ігрових механік.</w:t>
      </w:r>
    </w:p>
    <w:p w:rsidR="00000000" w:rsidDel="00000000" w:rsidP="00000000" w:rsidRDefault="00000000" w:rsidRPr="00000000" w14:paraId="00000136">
      <w:pPr>
        <w:numPr>
          <w:ilvl w:val="0"/>
          <w:numId w:val="5"/>
        </w:numPr>
        <w:spacing w:after="0" w:afterAutospacing="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розроблено та представлено гнучкий методологічний каркас для проектування гейміфікованих EdTech-додатків. У межах цього підходу змодельовано ключові UX-артефакти: деталізовані "Персони гравців" (Player Personas), які співвідносяться з потребами SDT, а також покроковий "Сценарій гейміфікованого онбордингу".</w:t>
      </w:r>
    </w:p>
    <w:p w:rsidR="00000000" w:rsidDel="00000000" w:rsidP="00000000" w:rsidRDefault="00000000" w:rsidRPr="00000000" w14:paraId="00000137">
      <w:pPr>
        <w:numPr>
          <w:ilvl w:val="0"/>
          <w:numId w:val="5"/>
        </w:numPr>
        <w:spacing w:after="240" w:before="0" w:beforeAutospacing="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Проаналізовано валідовані інструменти для оцінки ефективності запропонованого дизайну: опитувальники PENS, GAMEFULQUEST та MEEGA+. Ці інструменти можна використати для подальшої валідації.</w:t>
      </w:r>
    </w:p>
    <w:p w:rsidR="00000000" w:rsidDel="00000000" w:rsidP="00000000" w:rsidRDefault="00000000" w:rsidRPr="00000000" w14:paraId="00000138">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Отже, поставленої мети практики було досягнуто. Запропонований каркас має практичну цінність для дизайнерів і продакт-менеджерів, які працюють у сфері EdTech.</w:t>
      </w:r>
    </w:p>
    <w:p w:rsidR="00000000" w:rsidDel="00000000" w:rsidP="00000000" w:rsidRDefault="00000000" w:rsidRPr="00000000" w14:paraId="00000139">
      <w:pPr>
        <w:spacing w:after="240" w:before="240"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pStyle w:val="Heading1"/>
        <w:spacing w:line="360" w:lineRule="auto"/>
        <w:ind w:left="283.46456692913375" w:right="-844.7244094488178" w:firstLine="0"/>
        <w:jc w:val="center"/>
        <w:rPr>
          <w:rFonts w:ascii="Times New Roman" w:cs="Times New Roman" w:eastAsia="Times New Roman" w:hAnsi="Times New Roman"/>
          <w:b w:val="1"/>
          <w:bCs w:val="1"/>
          <w:sz w:val="28"/>
          <w:szCs w:val="28"/>
        </w:rPr>
      </w:pPr>
      <w:bookmarkStart w:colFirst="0" w:colLast="0" w:name="_3qlplmgocx07" w:id="25"/>
      <w:bookmarkEnd w:id="25"/>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line="360" w:lineRule="auto"/>
        <w:ind w:left="283.46456692913375" w:right="-844.7244094488178" w:firstLine="0"/>
        <w:jc w:val="center"/>
        <w:rPr>
          <w:rFonts w:ascii="Times New Roman" w:cs="Times New Roman" w:eastAsia="Times New Roman" w:hAnsi="Times New Roman"/>
          <w:b w:val="1"/>
          <w:bCs w:val="1"/>
          <w:sz w:val="28"/>
          <w:szCs w:val="28"/>
        </w:rPr>
      </w:pPr>
      <w:bookmarkStart w:colFirst="0" w:colLast="0" w:name="_9j1ngv1dccwd" w:id="26"/>
      <w:bookmarkEnd w:id="26"/>
      <w:r w:rsidDel="00000000" w:rsidR="00000000" w:rsidRPr="00000000">
        <w:rPr>
          <w:rFonts w:ascii="Times New Roman" w:cs="Times New Roman" w:eastAsia="Times New Roman" w:hAnsi="Times New Roman"/>
          <w:b w:val="1"/>
          <w:bCs w:val="1"/>
          <w:sz w:val="28"/>
          <w:szCs w:val="28"/>
          <w:rtl w:val="0"/>
        </w:rPr>
        <w:t xml:space="preserve">Список використаних джерел</w:t>
      </w:r>
    </w:p>
    <w:p w:rsidR="00000000" w:rsidDel="00000000" w:rsidP="00000000" w:rsidRDefault="00000000" w:rsidRPr="00000000" w14:paraId="0000013C">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Patre S., Chakraborty D., Kar A. K., Singu H. B., Tiwari D. A. The role of enablers and barriers in the upskilling and reskilling of users through professional skilling programs on EdTech platforms. </w:t>
      </w:r>
      <w:r w:rsidDel="00000000" w:rsidR="00000000" w:rsidRPr="00000000">
        <w:rPr>
          <w:rFonts w:ascii="Times New Roman" w:cs="Times New Roman" w:eastAsia="Times New Roman" w:hAnsi="Times New Roman"/>
          <w:i w:val="1"/>
          <w:iCs w:val="1"/>
          <w:sz w:val="28"/>
          <w:szCs w:val="28"/>
          <w:rtl w:val="0"/>
        </w:rPr>
        <w:t xml:space="preserve">IEEE Transactions on Engineering Management.</w:t>
      </w:r>
      <w:r w:rsidDel="00000000" w:rsidR="00000000" w:rsidRPr="00000000">
        <w:rPr>
          <w:rFonts w:ascii="Times New Roman" w:cs="Times New Roman" w:eastAsia="Times New Roman" w:hAnsi="Times New Roman"/>
          <w:sz w:val="28"/>
          <w:szCs w:val="28"/>
          <w:rtl w:val="0"/>
        </w:rPr>
        <w:t xml:space="preserve"> 2024. Vol. 71. P. 9839–9853. DOI: 10.1109/tem.2023.3328261.</w:t>
      </w:r>
    </w:p>
    <w:p w:rsidR="00000000" w:rsidDel="00000000" w:rsidP="00000000" w:rsidRDefault="00000000" w:rsidRPr="00000000" w14:paraId="0000013D">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Chamorro-Atalaya O. та ін. Gamification in engineering education during COVID-19: A systematic review on design considerations and success factors in its implementation. </w:t>
      </w:r>
      <w:r w:rsidDel="00000000" w:rsidR="00000000" w:rsidRPr="00000000">
        <w:rPr>
          <w:rFonts w:ascii="Times New Roman" w:cs="Times New Roman" w:eastAsia="Times New Roman" w:hAnsi="Times New Roman"/>
          <w:i w:val="1"/>
          <w:iCs w:val="1"/>
          <w:sz w:val="28"/>
          <w:szCs w:val="28"/>
          <w:rtl w:val="0"/>
        </w:rPr>
        <w:t xml:space="preserve">International Journal of Learning, Teaching and Educational Research.</w:t>
      </w:r>
      <w:r w:rsidDel="00000000" w:rsidR="00000000" w:rsidRPr="00000000">
        <w:rPr>
          <w:rFonts w:ascii="Times New Roman" w:cs="Times New Roman" w:eastAsia="Times New Roman" w:hAnsi="Times New Roman"/>
          <w:sz w:val="28"/>
          <w:szCs w:val="28"/>
          <w:rtl w:val="0"/>
        </w:rPr>
        <w:t xml:space="preserve"> 2023. Vol. 22, No. 6. P. 301–327. DOI: 10.26803/ijlter.22.6.17.</w:t>
      </w:r>
    </w:p>
    <w:p w:rsidR="00000000" w:rsidDel="00000000" w:rsidP="00000000" w:rsidRDefault="00000000" w:rsidRPr="00000000" w14:paraId="0000013E">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Lowan-Trudeau G. Digital technologies and environmental education. </w:t>
      </w:r>
      <w:r w:rsidDel="00000000" w:rsidR="00000000" w:rsidRPr="00000000">
        <w:rPr>
          <w:rFonts w:ascii="Times New Roman" w:cs="Times New Roman" w:eastAsia="Times New Roman" w:hAnsi="Times New Roman"/>
          <w:i w:val="1"/>
          <w:iCs w:val="1"/>
          <w:sz w:val="28"/>
          <w:szCs w:val="28"/>
          <w:rtl w:val="0"/>
        </w:rPr>
        <w:t xml:space="preserve">The Journal of Environmental Education.</w:t>
      </w:r>
      <w:r w:rsidDel="00000000" w:rsidR="00000000" w:rsidRPr="00000000">
        <w:rPr>
          <w:rFonts w:ascii="Times New Roman" w:cs="Times New Roman" w:eastAsia="Times New Roman" w:hAnsi="Times New Roman"/>
          <w:sz w:val="28"/>
          <w:szCs w:val="28"/>
          <w:rtl w:val="0"/>
        </w:rPr>
        <w:t xml:space="preserve"> 2023. Vol. 54, No. 1. P. 1–7. DOI: 10.1080/00958964.2022.2152413.</w:t>
      </w:r>
    </w:p>
    <w:p w:rsidR="00000000" w:rsidDel="00000000" w:rsidP="00000000" w:rsidRDefault="00000000" w:rsidRPr="00000000" w14:paraId="0000013F">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Al-Hafdi F. S., Alhalafawy W. S. Ten years of gamification-based learning: A bibliometric analysis and systematic review. </w:t>
      </w:r>
      <w:r w:rsidDel="00000000" w:rsidR="00000000" w:rsidRPr="00000000">
        <w:rPr>
          <w:rFonts w:ascii="Times New Roman" w:cs="Times New Roman" w:eastAsia="Times New Roman" w:hAnsi="Times New Roman"/>
          <w:i w:val="1"/>
          <w:iCs w:val="1"/>
          <w:sz w:val="28"/>
          <w:szCs w:val="28"/>
          <w:rtl w:val="0"/>
        </w:rPr>
        <w:t xml:space="preserve">International Journal of Interactive Mobile Technologies (iJIM).</w:t>
      </w:r>
      <w:r w:rsidDel="00000000" w:rsidR="00000000" w:rsidRPr="00000000">
        <w:rPr>
          <w:rFonts w:ascii="Times New Roman" w:cs="Times New Roman" w:eastAsia="Times New Roman" w:hAnsi="Times New Roman"/>
          <w:sz w:val="28"/>
          <w:szCs w:val="28"/>
          <w:rtl w:val="0"/>
        </w:rPr>
        <w:t xml:space="preserve"> 2024. Vol. 18, No. 7. P. 188–212. DOI: 10.3991/ijim.v18i07.45335.</w:t>
      </w:r>
    </w:p>
    <w:p w:rsidR="00000000" w:rsidDel="00000000" w:rsidP="00000000" w:rsidRDefault="00000000" w:rsidRPr="00000000" w14:paraId="00000140">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Gupta S., Priyanka P. Gamification and e-learning adoption: a sequential mediation analysis of flow and engagement. </w:t>
      </w:r>
      <w:r w:rsidDel="00000000" w:rsidR="00000000" w:rsidRPr="00000000">
        <w:rPr>
          <w:rFonts w:ascii="Times New Roman" w:cs="Times New Roman" w:eastAsia="Times New Roman" w:hAnsi="Times New Roman"/>
          <w:i w:val="1"/>
          <w:iCs w:val="1"/>
          <w:sz w:val="28"/>
          <w:szCs w:val="28"/>
          <w:rtl w:val="0"/>
        </w:rPr>
        <w:t xml:space="preserve">VINE Journal of Information and Knowledge Management Systems.</w:t>
      </w:r>
      <w:r w:rsidDel="00000000" w:rsidR="00000000" w:rsidRPr="00000000">
        <w:rPr>
          <w:rFonts w:ascii="Times New Roman" w:cs="Times New Roman" w:eastAsia="Times New Roman" w:hAnsi="Times New Roman"/>
          <w:sz w:val="28"/>
          <w:szCs w:val="28"/>
          <w:rtl w:val="0"/>
        </w:rPr>
        <w:t xml:space="preserve"> 2022. Vol. 54, No. 6. P. 1342–1359. DOI: 10.1108/vjikms-04-2022-0131.</w:t>
      </w:r>
    </w:p>
    <w:p w:rsidR="00000000" w:rsidDel="00000000" w:rsidP="00000000" w:rsidRDefault="00000000" w:rsidRPr="00000000" w14:paraId="00000141">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Fathian M., Sharifi H., Nasirzadeh E., Dyer R., Elsayed O. Towards a comprehensive methodology for applying enterprise gamification. </w:t>
      </w:r>
      <w:r w:rsidDel="00000000" w:rsidR="00000000" w:rsidRPr="00000000">
        <w:rPr>
          <w:rFonts w:ascii="Times New Roman" w:cs="Times New Roman" w:eastAsia="Times New Roman" w:hAnsi="Times New Roman"/>
          <w:i w:val="1"/>
          <w:iCs w:val="1"/>
          <w:sz w:val="28"/>
          <w:szCs w:val="28"/>
          <w:rtl w:val="0"/>
        </w:rPr>
        <w:t xml:space="preserve">Decision Science Letters.</w:t>
      </w:r>
      <w:r w:rsidDel="00000000" w:rsidR="00000000" w:rsidRPr="00000000">
        <w:rPr>
          <w:rFonts w:ascii="Times New Roman" w:cs="Times New Roman" w:eastAsia="Times New Roman" w:hAnsi="Times New Roman"/>
          <w:sz w:val="28"/>
          <w:szCs w:val="28"/>
          <w:rtl w:val="0"/>
        </w:rPr>
        <w:t xml:space="preserve"> 2021. Vol. 10, No. 3. P. 277–290. DOI: 10.5267/j.dsl.2021.3.002.</w:t>
      </w:r>
    </w:p>
    <w:p w:rsidR="00000000" w:rsidDel="00000000" w:rsidP="00000000" w:rsidRDefault="00000000" w:rsidRPr="00000000" w14:paraId="00000142">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Schöbel S. M., Janson A., Söllner M. Capturing the complexity of gamification elements: a holistic approach for analysing existing and deriving novel gamification designs. </w:t>
      </w:r>
      <w:r w:rsidDel="00000000" w:rsidR="00000000" w:rsidRPr="00000000">
        <w:rPr>
          <w:rFonts w:ascii="Times New Roman" w:cs="Times New Roman" w:eastAsia="Times New Roman" w:hAnsi="Times New Roman"/>
          <w:i w:val="1"/>
          <w:iCs w:val="1"/>
          <w:sz w:val="28"/>
          <w:szCs w:val="28"/>
          <w:rtl w:val="0"/>
        </w:rPr>
        <w:t xml:space="preserve">European Journal of Information Systems.</w:t>
      </w:r>
      <w:r w:rsidDel="00000000" w:rsidR="00000000" w:rsidRPr="00000000">
        <w:rPr>
          <w:rFonts w:ascii="Times New Roman" w:cs="Times New Roman" w:eastAsia="Times New Roman" w:hAnsi="Times New Roman"/>
          <w:sz w:val="28"/>
          <w:szCs w:val="28"/>
          <w:rtl w:val="0"/>
        </w:rPr>
        <w:t xml:space="preserve"> 2020. Vol. 29, No. 6. P. 641–668. DOI: 10.1080/0960085x.2020.1796531.</w:t>
      </w:r>
    </w:p>
    <w:p w:rsidR="00000000" w:rsidDel="00000000" w:rsidP="00000000" w:rsidRDefault="00000000" w:rsidRPr="00000000" w14:paraId="00000143">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 S. Building autonomous learners: perspectives from research and practice using self-determination theory. </w:t>
      </w:r>
      <w:r w:rsidDel="00000000" w:rsidR="00000000" w:rsidRPr="00000000">
        <w:rPr>
          <w:rFonts w:ascii="Times New Roman" w:cs="Times New Roman" w:eastAsia="Times New Roman" w:hAnsi="Times New Roman"/>
          <w:i w:val="1"/>
          <w:iCs w:val="1"/>
          <w:sz w:val="28"/>
          <w:szCs w:val="28"/>
          <w:rtl w:val="0"/>
        </w:rPr>
        <w:t xml:space="preserve">British Journal of Educational Studies.</w:t>
      </w:r>
      <w:r w:rsidDel="00000000" w:rsidR="00000000" w:rsidRPr="00000000">
        <w:rPr>
          <w:rFonts w:ascii="Times New Roman" w:cs="Times New Roman" w:eastAsia="Times New Roman" w:hAnsi="Times New Roman"/>
          <w:sz w:val="28"/>
          <w:szCs w:val="28"/>
          <w:rtl w:val="0"/>
        </w:rPr>
        <w:t xml:space="preserve"> 2019. Vol. 67, No. 2. P. 269–271. DOI: 10.1080/00071005.2019.1577592.</w:t>
      </w:r>
    </w:p>
    <w:p w:rsidR="00000000" w:rsidDel="00000000" w:rsidP="00000000" w:rsidRDefault="00000000" w:rsidRPr="00000000" w14:paraId="00000144">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Adaptive and personalized gamification designs: Call for action and future research. </w:t>
      </w:r>
      <w:r w:rsidDel="00000000" w:rsidR="00000000" w:rsidRPr="00000000">
        <w:rPr>
          <w:rFonts w:ascii="Times New Roman" w:cs="Times New Roman" w:eastAsia="Times New Roman" w:hAnsi="Times New Roman"/>
          <w:i w:val="1"/>
          <w:iCs w:val="1"/>
          <w:sz w:val="28"/>
          <w:szCs w:val="28"/>
          <w:rtl w:val="0"/>
        </w:rPr>
        <w:t xml:space="preserve">AIS Transactions on Human-Computer Interaction.</w:t>
      </w:r>
      <w:r w:rsidDel="00000000" w:rsidR="00000000" w:rsidRPr="00000000">
        <w:rPr>
          <w:rFonts w:ascii="Times New Roman" w:cs="Times New Roman" w:eastAsia="Times New Roman" w:hAnsi="Times New Roman"/>
          <w:sz w:val="28"/>
          <w:szCs w:val="28"/>
          <w:rtl w:val="0"/>
        </w:rPr>
        <w:t xml:space="preserve"> 2021. Vol. 13, No. 4. P. 479–494. DOI: 10.17705/1thci.00158.</w:t>
      </w:r>
    </w:p>
    <w:p w:rsidR="00000000" w:rsidDel="00000000" w:rsidP="00000000" w:rsidRDefault="00000000" w:rsidRPr="00000000" w14:paraId="00000145">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Junaštíková J. Self-regulation of learning in the context of modern technology: a review of empirical studies. </w:t>
      </w:r>
      <w:r w:rsidDel="00000000" w:rsidR="00000000" w:rsidRPr="00000000">
        <w:rPr>
          <w:rFonts w:ascii="Times New Roman" w:cs="Times New Roman" w:eastAsia="Times New Roman" w:hAnsi="Times New Roman"/>
          <w:i w:val="1"/>
          <w:iCs w:val="1"/>
          <w:sz w:val="28"/>
          <w:szCs w:val="28"/>
          <w:rtl w:val="0"/>
        </w:rPr>
        <w:t xml:space="preserve">Interactive Technology and Smart Education.</w:t>
      </w:r>
      <w:r w:rsidDel="00000000" w:rsidR="00000000" w:rsidRPr="00000000">
        <w:rPr>
          <w:rFonts w:ascii="Times New Roman" w:cs="Times New Roman" w:eastAsia="Times New Roman" w:hAnsi="Times New Roman"/>
          <w:sz w:val="28"/>
          <w:szCs w:val="28"/>
          <w:rtl w:val="0"/>
        </w:rPr>
        <w:t xml:space="preserve"> 2023. Vol. 21, No. 2. P. 270–291. DOI: 10.1108/itse-02-2023-0030.</w:t>
      </w:r>
    </w:p>
    <w:p w:rsidR="00000000" w:rsidDel="00000000" w:rsidP="00000000" w:rsidRDefault="00000000" w:rsidRPr="00000000" w14:paraId="00000146">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Mumpuni I. D., Akhriza T. M., Madenda S., Prasetyo E. A Mealy machine for mechanic dynamic aesthetic (MDA) gamification model of educator career system in Indonesian higher education institutions. </w:t>
      </w:r>
      <w:r w:rsidDel="00000000" w:rsidR="00000000" w:rsidRPr="00000000">
        <w:rPr>
          <w:rFonts w:ascii="Times New Roman" w:cs="Times New Roman" w:eastAsia="Times New Roman" w:hAnsi="Times New Roman"/>
          <w:i w:val="1"/>
          <w:iCs w:val="1"/>
          <w:sz w:val="28"/>
          <w:szCs w:val="28"/>
          <w:rtl w:val="0"/>
        </w:rPr>
        <w:t xml:space="preserve">International Journal of Information and Education Technology.</w:t>
      </w:r>
      <w:r w:rsidDel="00000000" w:rsidR="00000000" w:rsidRPr="00000000">
        <w:rPr>
          <w:rFonts w:ascii="Times New Roman" w:cs="Times New Roman" w:eastAsia="Times New Roman" w:hAnsi="Times New Roman"/>
          <w:sz w:val="28"/>
          <w:szCs w:val="28"/>
          <w:rtl w:val="0"/>
        </w:rPr>
        <w:t xml:space="preserve"> 2023. Vol. 13, No. 8. P. 1313–1322. DOI: 10.18178/ijiet.2023.13.8.1933.</w:t>
      </w:r>
    </w:p>
    <w:p w:rsidR="00000000" w:rsidDel="00000000" w:rsidP="00000000" w:rsidRDefault="00000000" w:rsidRPr="00000000" w14:paraId="00000147">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Triantafyllou S. A., Georgiadis C. K. G. Gamification design patterns for user engagement. </w:t>
      </w:r>
      <w:r w:rsidDel="00000000" w:rsidR="00000000" w:rsidRPr="00000000">
        <w:rPr>
          <w:rFonts w:ascii="Times New Roman" w:cs="Times New Roman" w:eastAsia="Times New Roman" w:hAnsi="Times New Roman"/>
          <w:i w:val="1"/>
          <w:iCs w:val="1"/>
          <w:sz w:val="28"/>
          <w:szCs w:val="28"/>
          <w:rtl w:val="0"/>
        </w:rPr>
        <w:t xml:space="preserve">Informatics in Education.</w:t>
      </w:r>
      <w:r w:rsidDel="00000000" w:rsidR="00000000" w:rsidRPr="00000000">
        <w:rPr>
          <w:rFonts w:ascii="Times New Roman" w:cs="Times New Roman" w:eastAsia="Times New Roman" w:hAnsi="Times New Roman"/>
          <w:sz w:val="28"/>
          <w:szCs w:val="28"/>
          <w:rtl w:val="0"/>
        </w:rPr>
        <w:t xml:space="preserve"> 2022. P. 655–674. DOI: 10.15388/infedu.2022.27.</w:t>
      </w:r>
    </w:p>
    <w:p w:rsidR="00000000" w:rsidDel="00000000" w:rsidP="00000000" w:rsidRDefault="00000000" w:rsidRPr="00000000" w14:paraId="00000148">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Vrcelj Božić A., Hoić-Božić N., Stančin K. Technological aspects of gamification: Criteria for the selection of digital tools and platforms. </w:t>
      </w:r>
      <w:r w:rsidDel="00000000" w:rsidR="00000000" w:rsidRPr="00000000">
        <w:rPr>
          <w:rFonts w:ascii="Times New Roman" w:cs="Times New Roman" w:eastAsia="Times New Roman" w:hAnsi="Times New Roman"/>
          <w:i w:val="1"/>
          <w:iCs w:val="1"/>
          <w:sz w:val="28"/>
          <w:szCs w:val="28"/>
          <w:rtl w:val="0"/>
        </w:rPr>
        <w:t xml:space="preserve">European Conference on e-Learning.</w:t>
      </w:r>
      <w:r w:rsidDel="00000000" w:rsidR="00000000" w:rsidRPr="00000000">
        <w:rPr>
          <w:rFonts w:ascii="Times New Roman" w:cs="Times New Roman" w:eastAsia="Times New Roman" w:hAnsi="Times New Roman"/>
          <w:sz w:val="28"/>
          <w:szCs w:val="28"/>
          <w:rtl w:val="0"/>
        </w:rPr>
        <w:t xml:space="preserve"> 2024. Vol. 23, No. 1. P. 538–541. DOI: 10.34190/ecel.23.1.2568.</w:t>
      </w:r>
    </w:p>
    <w:p w:rsidR="00000000" w:rsidDel="00000000" w:rsidP="00000000" w:rsidRDefault="00000000" w:rsidRPr="00000000" w14:paraId="00000149">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Bhatt A. N., Chakrabarti A. Gamification of design thinking: a way to enhance effectiveness of learning. </w:t>
      </w:r>
      <w:r w:rsidDel="00000000" w:rsidR="00000000" w:rsidRPr="00000000">
        <w:rPr>
          <w:rFonts w:ascii="Times New Roman" w:cs="Times New Roman" w:eastAsia="Times New Roman" w:hAnsi="Times New Roman"/>
          <w:i w:val="1"/>
          <w:iCs w:val="1"/>
          <w:sz w:val="28"/>
          <w:szCs w:val="28"/>
          <w:rtl w:val="0"/>
        </w:rPr>
        <w:t xml:space="preserve">Artificial Intelligence for Engineering Design, Analysis and Manufacturing.</w:t>
      </w:r>
      <w:r w:rsidDel="00000000" w:rsidR="00000000" w:rsidRPr="00000000">
        <w:rPr>
          <w:rFonts w:ascii="Times New Roman" w:cs="Times New Roman" w:eastAsia="Times New Roman" w:hAnsi="Times New Roman"/>
          <w:sz w:val="28"/>
          <w:szCs w:val="28"/>
          <w:rtl w:val="0"/>
        </w:rPr>
        <w:t xml:space="preserve"> 2022. Vol. 36. DOI: 10.1017/s0890060422000154.</w:t>
      </w:r>
    </w:p>
    <w:p w:rsidR="00000000" w:rsidDel="00000000" w:rsidP="00000000" w:rsidRDefault="00000000" w:rsidRPr="00000000" w14:paraId="0000014A">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Asmolov A., Ledentsov A. Impact on educational effectiveness using digital gamification. </w:t>
      </w:r>
      <w:r w:rsidDel="00000000" w:rsidR="00000000" w:rsidRPr="00000000">
        <w:rPr>
          <w:rFonts w:ascii="Times New Roman" w:cs="Times New Roman" w:eastAsia="Times New Roman" w:hAnsi="Times New Roman"/>
          <w:i w:val="1"/>
          <w:iCs w:val="1"/>
          <w:sz w:val="28"/>
          <w:szCs w:val="28"/>
          <w:rtl w:val="0"/>
        </w:rPr>
        <w:t xml:space="preserve">Startupreneur Business Digital (SABDA Journal).</w:t>
      </w:r>
      <w:r w:rsidDel="00000000" w:rsidR="00000000" w:rsidRPr="00000000">
        <w:rPr>
          <w:rFonts w:ascii="Times New Roman" w:cs="Times New Roman" w:eastAsia="Times New Roman" w:hAnsi="Times New Roman"/>
          <w:sz w:val="28"/>
          <w:szCs w:val="28"/>
          <w:rtl w:val="0"/>
        </w:rPr>
        <w:t xml:space="preserve"> 2023. Vol. 2, No. 1. P. 98–105. DOI: 10.33050/sabda.v2i1.252.</w:t>
      </w:r>
    </w:p>
    <w:p w:rsidR="00000000" w:rsidDel="00000000" w:rsidP="00000000" w:rsidRDefault="00000000" w:rsidRPr="00000000" w14:paraId="0000014B">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Lutfi A., Aftinia F., Eka Permani B. Gamification: Game as a medium for learning chemistry to motivate and increase retention of student learning outcomes. </w:t>
      </w:r>
      <w:r w:rsidDel="00000000" w:rsidR="00000000" w:rsidRPr="00000000">
        <w:rPr>
          <w:rFonts w:ascii="Times New Roman" w:cs="Times New Roman" w:eastAsia="Times New Roman" w:hAnsi="Times New Roman"/>
          <w:i w:val="1"/>
          <w:iCs w:val="1"/>
          <w:sz w:val="28"/>
          <w:szCs w:val="28"/>
          <w:rtl w:val="0"/>
        </w:rPr>
        <w:t xml:space="preserve">Journal of Technology and Science Education.</w:t>
      </w:r>
      <w:r w:rsidDel="00000000" w:rsidR="00000000" w:rsidRPr="00000000">
        <w:rPr>
          <w:rFonts w:ascii="Times New Roman" w:cs="Times New Roman" w:eastAsia="Times New Roman" w:hAnsi="Times New Roman"/>
          <w:sz w:val="28"/>
          <w:szCs w:val="28"/>
          <w:rtl w:val="0"/>
        </w:rPr>
        <w:t xml:space="preserve"> 2023. Vol. 13, No. 1. P. 193. DOI: 10.3926/jotse.1842.</w:t>
      </w:r>
    </w:p>
    <w:p w:rsidR="00000000" w:rsidDel="00000000" w:rsidP="00000000" w:rsidRDefault="00000000" w:rsidRPr="00000000" w14:paraId="0000014C">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Uluskan S. EDUPERES and GAMERES: A smart interactive education platform and digital gamification for basic circuit analysis. </w:t>
      </w:r>
      <w:r w:rsidDel="00000000" w:rsidR="00000000" w:rsidRPr="00000000">
        <w:rPr>
          <w:rFonts w:ascii="Times New Roman" w:cs="Times New Roman" w:eastAsia="Times New Roman" w:hAnsi="Times New Roman"/>
          <w:i w:val="1"/>
          <w:iCs w:val="1"/>
          <w:sz w:val="28"/>
          <w:szCs w:val="28"/>
          <w:rtl w:val="0"/>
        </w:rPr>
        <w:t xml:space="preserve">Computer Applications in Engineering Education.</w:t>
      </w:r>
      <w:r w:rsidDel="00000000" w:rsidR="00000000" w:rsidRPr="00000000">
        <w:rPr>
          <w:rFonts w:ascii="Times New Roman" w:cs="Times New Roman" w:eastAsia="Times New Roman" w:hAnsi="Times New Roman"/>
          <w:sz w:val="28"/>
          <w:szCs w:val="28"/>
          <w:rtl w:val="0"/>
        </w:rPr>
        <w:t xml:space="preserve"> 2024. Vol. 32, No. 4. DOI:</w:t>
      </w:r>
      <w:hyperlink r:id="rId7">
        <w:r w:rsidDel="00000000" w:rsidR="00000000" w:rsidRPr="00000000">
          <w:rPr>
            <w:rFonts w:ascii="Times New Roman" w:cs="Times New Roman" w:eastAsia="Times New Roman" w:hAnsi="Times New Roman"/>
            <w:sz w:val="28"/>
            <w:szCs w:val="28"/>
            <w:rtl w:val="0"/>
          </w:rPr>
          <w:t xml:space="preserve"> </w:t>
        </w:r>
      </w:hyperlink>
      <w:hyperlink r:id="rId8">
        <w:r w:rsidDel="00000000" w:rsidR="00000000" w:rsidRPr="00000000">
          <w:rPr>
            <w:rFonts w:ascii="Times New Roman" w:cs="Times New Roman" w:eastAsia="Times New Roman" w:hAnsi="Times New Roman"/>
            <w:sz w:val="28"/>
            <w:szCs w:val="28"/>
            <w:u w:val="single"/>
            <w:rtl w:val="0"/>
          </w:rPr>
          <w:t xml:space="preserve">10.1002/cae.22754</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D">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Rodrigues L., Toda A. M., Oliveira W., Palomino P. T., Vassileva J., Isotani S. Automating gamification personalization to the user and beyond. </w:t>
      </w:r>
      <w:r w:rsidDel="00000000" w:rsidR="00000000" w:rsidRPr="00000000">
        <w:rPr>
          <w:rFonts w:ascii="Times New Roman" w:cs="Times New Roman" w:eastAsia="Times New Roman" w:hAnsi="Times New Roman"/>
          <w:i w:val="1"/>
          <w:iCs w:val="1"/>
          <w:sz w:val="28"/>
          <w:szCs w:val="28"/>
          <w:rtl w:val="0"/>
        </w:rPr>
        <w:t xml:space="preserve">IEEE Transactions on Learning Technologies.</w:t>
      </w:r>
      <w:r w:rsidDel="00000000" w:rsidR="00000000" w:rsidRPr="00000000">
        <w:rPr>
          <w:rFonts w:ascii="Times New Roman" w:cs="Times New Roman" w:eastAsia="Times New Roman" w:hAnsi="Times New Roman"/>
          <w:sz w:val="28"/>
          <w:szCs w:val="28"/>
          <w:rtl w:val="0"/>
        </w:rPr>
        <w:t xml:space="preserve"> 2022. Vol. 15, No. 2. P. 199–212. DOI: 10.1109/tlt.2022.3162409.</w:t>
      </w:r>
    </w:p>
    <w:p w:rsidR="00000000" w:rsidDel="00000000" w:rsidP="00000000" w:rsidRDefault="00000000" w:rsidRPr="00000000" w14:paraId="0000014E">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Popova T. V., Ermakova O. Ev., Dolgova A. An., Chernykh N. Al. Prospects and risks of gamification implementation in modern education. </w:t>
      </w:r>
      <w:r w:rsidDel="00000000" w:rsidR="00000000" w:rsidRPr="00000000">
        <w:rPr>
          <w:rFonts w:ascii="Times New Roman" w:cs="Times New Roman" w:eastAsia="Times New Roman" w:hAnsi="Times New Roman"/>
          <w:i w:val="1"/>
          <w:iCs w:val="1"/>
          <w:sz w:val="28"/>
          <w:szCs w:val="28"/>
          <w:rtl w:val="0"/>
        </w:rPr>
        <w:t xml:space="preserve">Vestnik of Kostroma State University. Series: Pedagogy. Psychology. Sociokinetics.</w:t>
      </w:r>
      <w:r w:rsidDel="00000000" w:rsidR="00000000" w:rsidRPr="00000000">
        <w:rPr>
          <w:rFonts w:ascii="Times New Roman" w:cs="Times New Roman" w:eastAsia="Times New Roman" w:hAnsi="Times New Roman"/>
          <w:sz w:val="28"/>
          <w:szCs w:val="28"/>
          <w:rtl w:val="0"/>
        </w:rPr>
        <w:t xml:space="preserve"> 2023. Vol. 28, No. 2. P. 12–17. DOI: 10.34216/2073-1426-2022-28-2-12-17.</w:t>
      </w:r>
    </w:p>
    <w:p w:rsidR="00000000" w:rsidDel="00000000" w:rsidP="00000000" w:rsidRDefault="00000000" w:rsidRPr="00000000" w14:paraId="0000014F">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Aydın İ. Ethical issues in educational technology. </w:t>
      </w:r>
      <w:r w:rsidDel="00000000" w:rsidR="00000000" w:rsidRPr="00000000">
        <w:rPr>
          <w:rFonts w:ascii="Times New Roman" w:cs="Times New Roman" w:eastAsia="Times New Roman" w:hAnsi="Times New Roman"/>
          <w:i w:val="1"/>
          <w:iCs w:val="1"/>
          <w:sz w:val="28"/>
          <w:szCs w:val="28"/>
          <w:rtl w:val="0"/>
        </w:rPr>
        <w:t xml:space="preserve">Kastamonu Eğitim Dergisi.</w:t>
      </w:r>
      <w:r w:rsidDel="00000000" w:rsidR="00000000" w:rsidRPr="00000000">
        <w:rPr>
          <w:rFonts w:ascii="Times New Roman" w:cs="Times New Roman" w:eastAsia="Times New Roman" w:hAnsi="Times New Roman"/>
          <w:sz w:val="28"/>
          <w:szCs w:val="28"/>
          <w:rtl w:val="0"/>
        </w:rPr>
        <w:t xml:space="preserve"> 2024. P. 861–881. DOI: 10.24106/kefdergi.1426735.</w:t>
      </w:r>
    </w:p>
    <w:p w:rsidR="00000000" w:rsidDel="00000000" w:rsidP="00000000" w:rsidRDefault="00000000" w:rsidRPr="00000000" w14:paraId="00000150">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Школа програмування GoIT вийшла з ринків Латинської Америки. </w:t>
      </w:r>
      <w:r w:rsidDel="00000000" w:rsidR="00000000" w:rsidRPr="00000000">
        <w:rPr>
          <w:rFonts w:ascii="Times New Roman" w:cs="Times New Roman" w:eastAsia="Times New Roman" w:hAnsi="Times New Roman"/>
          <w:i w:val="1"/>
          <w:iCs w:val="1"/>
          <w:sz w:val="28"/>
          <w:szCs w:val="28"/>
          <w:rtl w:val="0"/>
        </w:rPr>
        <w:t xml:space="preserve">Forbes.ua.</w:t>
      </w:r>
      <w:r w:rsidDel="00000000" w:rsidR="00000000" w:rsidRPr="00000000">
        <w:rPr>
          <w:rFonts w:ascii="Times New Roman" w:cs="Times New Roman" w:eastAsia="Times New Roman" w:hAnsi="Times New Roman"/>
          <w:sz w:val="28"/>
          <w:szCs w:val="28"/>
          <w:rtl w:val="0"/>
        </w:rPr>
        <w:t xml:space="preserve"> 26.12.2024. URL:</w:t>
      </w:r>
      <w:hyperlink r:id="rId9">
        <w:r w:rsidDel="00000000" w:rsidR="00000000" w:rsidRPr="00000000">
          <w:rPr>
            <w:rFonts w:ascii="Times New Roman" w:cs="Times New Roman" w:eastAsia="Times New Roman" w:hAnsi="Times New Roman"/>
            <w:sz w:val="28"/>
            <w:szCs w:val="28"/>
            <w:rtl w:val="0"/>
          </w:rPr>
          <w:t xml:space="preserve"> </w:t>
        </w:r>
      </w:hyperlink>
      <w:hyperlink r:id="rId10">
        <w:r w:rsidDel="00000000" w:rsidR="00000000" w:rsidRPr="00000000">
          <w:rPr>
            <w:rFonts w:ascii="Times New Roman" w:cs="Times New Roman" w:eastAsia="Times New Roman" w:hAnsi="Times New Roman"/>
            <w:sz w:val="28"/>
            <w:szCs w:val="28"/>
            <w:u w:val="single"/>
            <w:rtl w:val="0"/>
          </w:rPr>
          <w:t xml:space="preserve">https://forbes.ua/news/shkola-programuvannya-goit-viyshla-z-rinkiv-latinskoi-ameriki-26122024-25904</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1">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курси з працевлаштуванням Київ та онлайн. </w:t>
      </w:r>
      <w:r w:rsidDel="00000000" w:rsidR="00000000" w:rsidRPr="00000000">
        <w:rPr>
          <w:rFonts w:ascii="Times New Roman" w:cs="Times New Roman" w:eastAsia="Times New Roman" w:hAnsi="Times New Roman"/>
          <w:i w:val="1"/>
          <w:iCs w:val="1"/>
          <w:sz w:val="28"/>
          <w:szCs w:val="28"/>
          <w:rtl w:val="0"/>
        </w:rPr>
        <w:t xml:space="preserve">GoIT Global.</w:t>
      </w:r>
      <w:r w:rsidDel="00000000" w:rsidR="00000000" w:rsidRPr="00000000">
        <w:rPr>
          <w:rFonts w:ascii="Times New Roman" w:cs="Times New Roman" w:eastAsia="Times New Roman" w:hAnsi="Times New Roman"/>
          <w:sz w:val="28"/>
          <w:szCs w:val="28"/>
          <w:rtl w:val="0"/>
        </w:rPr>
        <w:t xml:space="preserve"> URL:</w:t>
      </w:r>
      <w:hyperlink r:id="rId11">
        <w:r w:rsidDel="00000000" w:rsidR="00000000" w:rsidRPr="00000000">
          <w:rPr>
            <w:rFonts w:ascii="Times New Roman" w:cs="Times New Roman" w:eastAsia="Times New Roman" w:hAnsi="Times New Roman"/>
            <w:sz w:val="28"/>
            <w:szCs w:val="28"/>
            <w:rtl w:val="0"/>
          </w:rPr>
          <w:t xml:space="preserve"> </w:t>
        </w:r>
      </w:hyperlink>
      <w:hyperlink r:id="rId12">
        <w:r w:rsidDel="00000000" w:rsidR="00000000" w:rsidRPr="00000000">
          <w:rPr>
            <w:rFonts w:ascii="Times New Roman" w:cs="Times New Roman" w:eastAsia="Times New Roman" w:hAnsi="Times New Roman"/>
            <w:sz w:val="28"/>
            <w:szCs w:val="28"/>
            <w:u w:val="single"/>
            <w:rtl w:val="0"/>
          </w:rPr>
          <w:t xml:space="preserve">https://goit.global/ua/</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2">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Українська платформа ІТ-освіти GoIT залучила інвестиції від Horizon Capital. </w:t>
      </w:r>
      <w:r w:rsidDel="00000000" w:rsidR="00000000" w:rsidRPr="00000000">
        <w:rPr>
          <w:rFonts w:ascii="Times New Roman" w:cs="Times New Roman" w:eastAsia="Times New Roman" w:hAnsi="Times New Roman"/>
          <w:i w:val="1"/>
          <w:iCs w:val="1"/>
          <w:sz w:val="28"/>
          <w:szCs w:val="28"/>
          <w:rtl w:val="0"/>
        </w:rPr>
        <w:t xml:space="preserve">UkraineInvest.gov.ua.</w:t>
      </w:r>
      <w:r w:rsidDel="00000000" w:rsidR="00000000" w:rsidRPr="00000000">
        <w:rPr>
          <w:rFonts w:ascii="Times New Roman" w:cs="Times New Roman" w:eastAsia="Times New Roman" w:hAnsi="Times New Roman"/>
          <w:sz w:val="28"/>
          <w:szCs w:val="28"/>
          <w:rtl w:val="0"/>
        </w:rPr>
        <w:t xml:space="preserve"> 24.11.2023. URL:</w:t>
      </w:r>
      <w:hyperlink r:id="rId13">
        <w:r w:rsidDel="00000000" w:rsidR="00000000" w:rsidRPr="00000000">
          <w:rPr>
            <w:rFonts w:ascii="Times New Roman" w:cs="Times New Roman" w:eastAsia="Times New Roman" w:hAnsi="Times New Roman"/>
            <w:sz w:val="28"/>
            <w:szCs w:val="28"/>
            <w:rtl w:val="0"/>
          </w:rPr>
          <w:t xml:space="preserve"> </w:t>
        </w:r>
      </w:hyperlink>
      <w:hyperlink r:id="rId14">
        <w:r w:rsidDel="00000000" w:rsidR="00000000" w:rsidRPr="00000000">
          <w:rPr>
            <w:rFonts w:ascii="Times New Roman" w:cs="Times New Roman" w:eastAsia="Times New Roman" w:hAnsi="Times New Roman"/>
            <w:sz w:val="28"/>
            <w:szCs w:val="28"/>
            <w:u w:val="single"/>
            <w:rtl w:val="0"/>
          </w:rPr>
          <w:t xml:space="preserve">https://ukraineinvest.gov.ua/news/24-11-2023-2/</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3">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Bachelor's Without Borders: Neoversity launches higher online education focused on development and artificial intelligence. </w:t>
      </w:r>
      <w:r w:rsidDel="00000000" w:rsidR="00000000" w:rsidRPr="00000000">
        <w:rPr>
          <w:rFonts w:ascii="Times New Roman" w:cs="Times New Roman" w:eastAsia="Times New Roman" w:hAnsi="Times New Roman"/>
          <w:i w:val="1"/>
          <w:iCs w:val="1"/>
          <w:sz w:val="28"/>
          <w:szCs w:val="28"/>
          <w:rtl w:val="0"/>
        </w:rPr>
        <w:t xml:space="preserve">IT Ukraine Association.</w:t>
      </w:r>
      <w:r w:rsidDel="00000000" w:rsidR="00000000" w:rsidRPr="00000000">
        <w:rPr>
          <w:rFonts w:ascii="Times New Roman" w:cs="Times New Roman" w:eastAsia="Times New Roman" w:hAnsi="Times New Roman"/>
          <w:sz w:val="28"/>
          <w:szCs w:val="28"/>
          <w:rtl w:val="0"/>
        </w:rPr>
        <w:t xml:space="preserve"> URL:</w:t>
      </w:r>
      <w:hyperlink r:id="rId15">
        <w:r w:rsidDel="00000000" w:rsidR="00000000" w:rsidRPr="00000000">
          <w:rPr>
            <w:rFonts w:ascii="Times New Roman" w:cs="Times New Roman" w:eastAsia="Times New Roman" w:hAnsi="Times New Roman"/>
            <w:sz w:val="28"/>
            <w:szCs w:val="28"/>
            <w:rtl w:val="0"/>
          </w:rPr>
          <w:t xml:space="preserve"> </w:t>
        </w:r>
      </w:hyperlink>
      <w:hyperlink r:id="rId16">
        <w:r w:rsidDel="00000000" w:rsidR="00000000" w:rsidRPr="00000000">
          <w:rPr>
            <w:rFonts w:ascii="Times New Roman" w:cs="Times New Roman" w:eastAsia="Times New Roman" w:hAnsi="Times New Roman"/>
            <w:sz w:val="28"/>
            <w:szCs w:val="28"/>
            <w:u w:val="single"/>
            <w:rtl w:val="0"/>
          </w:rPr>
          <w:t xml:space="preserve">https://itukraine.org.ua/en/ai-bachelor-s-without-borders-neoversity-launches-higher-online-education-focused-on-development-and-artificial-intelligence/</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4">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Neoversity: Accredited online Master of Science in Computer Science. </w:t>
      </w:r>
      <w:r w:rsidDel="00000000" w:rsidR="00000000" w:rsidRPr="00000000">
        <w:rPr>
          <w:rFonts w:ascii="Times New Roman" w:cs="Times New Roman" w:eastAsia="Times New Roman" w:hAnsi="Times New Roman"/>
          <w:i w:val="1"/>
          <w:iCs w:val="1"/>
          <w:sz w:val="28"/>
          <w:szCs w:val="28"/>
          <w:rtl w:val="0"/>
        </w:rPr>
        <w:t xml:space="preserve">Marketplace Student.</w:t>
      </w:r>
      <w:r w:rsidDel="00000000" w:rsidR="00000000" w:rsidRPr="00000000">
        <w:rPr>
          <w:rFonts w:ascii="Times New Roman" w:cs="Times New Roman" w:eastAsia="Times New Roman" w:hAnsi="Times New Roman"/>
          <w:sz w:val="28"/>
          <w:szCs w:val="28"/>
          <w:rtl w:val="0"/>
        </w:rPr>
        <w:t xml:space="preserve"> URL:</w:t>
      </w:r>
      <w:hyperlink r:id="rId17">
        <w:r w:rsidDel="00000000" w:rsidR="00000000" w:rsidRPr="00000000">
          <w:rPr>
            <w:rFonts w:ascii="Times New Roman" w:cs="Times New Roman" w:eastAsia="Times New Roman" w:hAnsi="Times New Roman"/>
            <w:sz w:val="28"/>
            <w:szCs w:val="28"/>
            <w:rtl w:val="0"/>
          </w:rPr>
          <w:t xml:space="preserve"> </w:t>
        </w:r>
      </w:hyperlink>
      <w:hyperlink r:id="rId18">
        <w:r w:rsidDel="00000000" w:rsidR="00000000" w:rsidRPr="00000000">
          <w:rPr>
            <w:rFonts w:ascii="Times New Roman" w:cs="Times New Roman" w:eastAsia="Times New Roman" w:hAnsi="Times New Roman"/>
            <w:sz w:val="28"/>
            <w:szCs w:val="28"/>
            <w:u w:val="single"/>
            <w:rtl w:val="0"/>
          </w:rPr>
          <w:t xml:space="preserve">https://marketplace.student.com/products/goit-neoversity-accredited-online-master-of-science-in-computer-science</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5">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Neoversity | Woolf Partner College. </w:t>
      </w:r>
      <w:r w:rsidDel="00000000" w:rsidR="00000000" w:rsidRPr="00000000">
        <w:rPr>
          <w:rFonts w:ascii="Times New Roman" w:cs="Times New Roman" w:eastAsia="Times New Roman" w:hAnsi="Times New Roman"/>
          <w:i w:val="1"/>
          <w:iCs w:val="1"/>
          <w:sz w:val="28"/>
          <w:szCs w:val="28"/>
          <w:rtl w:val="0"/>
        </w:rPr>
        <w:t xml:space="preserve">Woolf University.</w:t>
      </w:r>
      <w:r w:rsidDel="00000000" w:rsidR="00000000" w:rsidRPr="00000000">
        <w:rPr>
          <w:rFonts w:ascii="Times New Roman" w:cs="Times New Roman" w:eastAsia="Times New Roman" w:hAnsi="Times New Roman"/>
          <w:sz w:val="28"/>
          <w:szCs w:val="28"/>
          <w:rtl w:val="0"/>
        </w:rPr>
        <w:t xml:space="preserve"> URL:</w:t>
      </w:r>
      <w:hyperlink r:id="rId19">
        <w:r w:rsidDel="00000000" w:rsidR="00000000" w:rsidRPr="00000000">
          <w:rPr>
            <w:rFonts w:ascii="Times New Roman" w:cs="Times New Roman" w:eastAsia="Times New Roman" w:hAnsi="Times New Roman"/>
            <w:sz w:val="28"/>
            <w:szCs w:val="28"/>
            <w:rtl w:val="0"/>
          </w:rPr>
          <w:t xml:space="preserve"> </w:t>
        </w:r>
      </w:hyperlink>
      <w:hyperlink r:id="rId20">
        <w:r w:rsidDel="00000000" w:rsidR="00000000" w:rsidRPr="00000000">
          <w:rPr>
            <w:rFonts w:ascii="Times New Roman" w:cs="Times New Roman" w:eastAsia="Times New Roman" w:hAnsi="Times New Roman"/>
            <w:sz w:val="28"/>
            <w:szCs w:val="28"/>
            <w:u w:val="single"/>
            <w:rtl w:val="0"/>
          </w:rPr>
          <w:t xml:space="preserve">https://x.university/colleges/goit-neoversity</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6">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w:t>
      </w:r>
      <w:r w:rsidDel="00000000" w:rsidR="00000000" w:rsidRPr="00000000">
        <w:rPr>
          <w:rFonts w:ascii="Times New Roman" w:cs="Times New Roman" w:eastAsia="Times New Roman" w:hAnsi="Times New Roman"/>
          <w:i w:val="1"/>
          <w:iCs w:val="1"/>
          <w:sz w:val="28"/>
          <w:szCs w:val="28"/>
          <w:rtl w:val="0"/>
        </w:rPr>
        <w:t xml:space="preserve">DOU.ua.</w:t>
      </w:r>
      <w:r w:rsidDel="00000000" w:rsidR="00000000" w:rsidRPr="00000000">
        <w:rPr>
          <w:rFonts w:ascii="Times New Roman" w:cs="Times New Roman" w:eastAsia="Times New Roman" w:hAnsi="Times New Roman"/>
          <w:sz w:val="28"/>
          <w:szCs w:val="28"/>
          <w:rtl w:val="0"/>
        </w:rPr>
        <w:t xml:space="preserve"> URL:</w:t>
      </w:r>
      <w:hyperlink r:id="rId21">
        <w:r w:rsidDel="00000000" w:rsidR="00000000" w:rsidRPr="00000000">
          <w:rPr>
            <w:rFonts w:ascii="Times New Roman" w:cs="Times New Roman" w:eastAsia="Times New Roman" w:hAnsi="Times New Roman"/>
            <w:sz w:val="28"/>
            <w:szCs w:val="28"/>
            <w:rtl w:val="0"/>
          </w:rPr>
          <w:t xml:space="preserve"> </w:t>
        </w:r>
      </w:hyperlink>
      <w:hyperlink r:id="rId22">
        <w:r w:rsidDel="00000000" w:rsidR="00000000" w:rsidRPr="00000000">
          <w:rPr>
            <w:rFonts w:ascii="Times New Roman" w:cs="Times New Roman" w:eastAsia="Times New Roman" w:hAnsi="Times New Roman"/>
            <w:sz w:val="28"/>
            <w:szCs w:val="28"/>
            <w:u w:val="single"/>
            <w:rtl w:val="0"/>
          </w:rPr>
          <w:t xml:space="preserve">https://jobs.dou.ua/companies/goit/</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7">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 Full Stack розробник з нуля у Києві. </w:t>
      </w:r>
      <w:r w:rsidDel="00000000" w:rsidR="00000000" w:rsidRPr="00000000">
        <w:rPr>
          <w:rFonts w:ascii="Times New Roman" w:cs="Times New Roman" w:eastAsia="Times New Roman" w:hAnsi="Times New Roman"/>
          <w:i w:val="1"/>
          <w:iCs w:val="1"/>
          <w:sz w:val="28"/>
          <w:szCs w:val="28"/>
          <w:rtl w:val="0"/>
        </w:rPr>
        <w:t xml:space="preserve">GoIT Global.</w:t>
      </w:r>
      <w:r w:rsidDel="00000000" w:rsidR="00000000" w:rsidRPr="00000000">
        <w:rPr>
          <w:rFonts w:ascii="Times New Roman" w:cs="Times New Roman" w:eastAsia="Times New Roman" w:hAnsi="Times New Roman"/>
          <w:sz w:val="28"/>
          <w:szCs w:val="28"/>
          <w:rtl w:val="0"/>
        </w:rPr>
        <w:t xml:space="preserve"> URL:</w:t>
      </w:r>
      <w:hyperlink r:id="rId23">
        <w:r w:rsidDel="00000000" w:rsidR="00000000" w:rsidRPr="00000000">
          <w:rPr>
            <w:rFonts w:ascii="Times New Roman" w:cs="Times New Roman" w:eastAsia="Times New Roman" w:hAnsi="Times New Roman"/>
            <w:sz w:val="28"/>
            <w:szCs w:val="28"/>
            <w:rtl w:val="0"/>
          </w:rPr>
          <w:t xml:space="preserve"> </w:t>
        </w:r>
      </w:hyperlink>
      <w:hyperlink r:id="rId24">
        <w:r w:rsidDel="00000000" w:rsidR="00000000" w:rsidRPr="00000000">
          <w:rPr>
            <w:rFonts w:ascii="Times New Roman" w:cs="Times New Roman" w:eastAsia="Times New Roman" w:hAnsi="Times New Roman"/>
            <w:sz w:val="28"/>
            <w:szCs w:val="28"/>
            <w:u w:val="single"/>
            <w:rtl w:val="0"/>
          </w:rPr>
          <w:t xml:space="preserve">https://goit.global/ua/courses/fullstack/</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8">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Fullstack-розробник з нуля від GoIT. </w:t>
      </w:r>
      <w:r w:rsidDel="00000000" w:rsidR="00000000" w:rsidRPr="00000000">
        <w:rPr>
          <w:rFonts w:ascii="Times New Roman" w:cs="Times New Roman" w:eastAsia="Times New Roman" w:hAnsi="Times New Roman"/>
          <w:i w:val="1"/>
          <w:iCs w:val="1"/>
          <w:sz w:val="28"/>
          <w:szCs w:val="28"/>
          <w:rtl w:val="0"/>
        </w:rPr>
        <w:t xml:space="preserve">SkillPublic.com.</w:t>
      </w:r>
      <w:r w:rsidDel="00000000" w:rsidR="00000000" w:rsidRPr="00000000">
        <w:rPr>
          <w:rFonts w:ascii="Times New Roman" w:cs="Times New Roman" w:eastAsia="Times New Roman" w:hAnsi="Times New Roman"/>
          <w:sz w:val="28"/>
          <w:szCs w:val="28"/>
          <w:rtl w:val="0"/>
        </w:rPr>
        <w:t xml:space="preserve"> 2025. URL:</w:t>
      </w:r>
      <w:hyperlink r:id="rId25">
        <w:r w:rsidDel="00000000" w:rsidR="00000000" w:rsidRPr="00000000">
          <w:rPr>
            <w:rFonts w:ascii="Times New Roman" w:cs="Times New Roman" w:eastAsia="Times New Roman" w:hAnsi="Times New Roman"/>
            <w:sz w:val="28"/>
            <w:szCs w:val="28"/>
            <w:rtl w:val="0"/>
          </w:rPr>
          <w:t xml:space="preserve"> </w:t>
        </w:r>
      </w:hyperlink>
      <w:hyperlink r:id="rId26">
        <w:r w:rsidDel="00000000" w:rsidR="00000000" w:rsidRPr="00000000">
          <w:rPr>
            <w:rFonts w:ascii="Times New Roman" w:cs="Times New Roman" w:eastAsia="Times New Roman" w:hAnsi="Times New Roman"/>
            <w:sz w:val="28"/>
            <w:szCs w:val="28"/>
            <w:u w:val="single"/>
            <w:rtl w:val="0"/>
          </w:rPr>
          <w:t xml:space="preserve">https://skillpublic.com/courses/goit-fullstack-rozrobnyk-z-nulja</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9">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Bootcamp: створюємо fullstack-розробників за 6 місяців. </w:t>
      </w:r>
      <w:r w:rsidDel="00000000" w:rsidR="00000000" w:rsidRPr="00000000">
        <w:rPr>
          <w:rFonts w:ascii="Times New Roman" w:cs="Times New Roman" w:eastAsia="Times New Roman" w:hAnsi="Times New Roman"/>
          <w:i w:val="1"/>
          <w:iCs w:val="1"/>
          <w:sz w:val="28"/>
          <w:szCs w:val="28"/>
          <w:rtl w:val="0"/>
        </w:rPr>
        <w:t xml:space="preserve">GoIT Global.</w:t>
      </w:r>
      <w:r w:rsidDel="00000000" w:rsidR="00000000" w:rsidRPr="00000000">
        <w:rPr>
          <w:rFonts w:ascii="Times New Roman" w:cs="Times New Roman" w:eastAsia="Times New Roman" w:hAnsi="Times New Roman"/>
          <w:sz w:val="28"/>
          <w:szCs w:val="28"/>
          <w:rtl w:val="0"/>
        </w:rPr>
        <w:t xml:space="preserve"> URL:</w:t>
      </w:r>
      <w:hyperlink r:id="rId27">
        <w:r w:rsidDel="00000000" w:rsidR="00000000" w:rsidRPr="00000000">
          <w:rPr>
            <w:rFonts w:ascii="Times New Roman" w:cs="Times New Roman" w:eastAsia="Times New Roman" w:hAnsi="Times New Roman"/>
            <w:sz w:val="28"/>
            <w:szCs w:val="28"/>
            <w:rtl w:val="0"/>
          </w:rPr>
          <w:t xml:space="preserve"> </w:t>
        </w:r>
      </w:hyperlink>
      <w:hyperlink r:id="rId28">
        <w:r w:rsidDel="00000000" w:rsidR="00000000" w:rsidRPr="00000000">
          <w:rPr>
            <w:rFonts w:ascii="Times New Roman" w:cs="Times New Roman" w:eastAsia="Times New Roman" w:hAnsi="Times New Roman"/>
            <w:sz w:val="28"/>
            <w:szCs w:val="28"/>
            <w:u w:val="single"/>
            <w:rtl w:val="0"/>
          </w:rPr>
          <w:t xml:space="preserve">https://goit.global/ua/courses/bootcamp/</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A">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Міжнародна EdTech-платформа GoIT: знайди собі нову професію. </w:t>
      </w:r>
      <w:r w:rsidDel="00000000" w:rsidR="00000000" w:rsidRPr="00000000">
        <w:rPr>
          <w:rFonts w:ascii="Times New Roman" w:cs="Times New Roman" w:eastAsia="Times New Roman" w:hAnsi="Times New Roman"/>
          <w:i w:val="1"/>
          <w:iCs w:val="1"/>
          <w:sz w:val="28"/>
          <w:szCs w:val="28"/>
          <w:rtl w:val="0"/>
        </w:rPr>
        <w:t xml:space="preserve">GoIT Global.</w:t>
      </w:r>
      <w:r w:rsidDel="00000000" w:rsidR="00000000" w:rsidRPr="00000000">
        <w:rPr>
          <w:rFonts w:ascii="Times New Roman" w:cs="Times New Roman" w:eastAsia="Times New Roman" w:hAnsi="Times New Roman"/>
          <w:sz w:val="28"/>
          <w:szCs w:val="28"/>
          <w:rtl w:val="0"/>
        </w:rPr>
        <w:t xml:space="preserve"> URL:</w:t>
      </w:r>
      <w:hyperlink r:id="rId29">
        <w:r w:rsidDel="00000000" w:rsidR="00000000" w:rsidRPr="00000000">
          <w:rPr>
            <w:rFonts w:ascii="Times New Roman" w:cs="Times New Roman" w:eastAsia="Times New Roman" w:hAnsi="Times New Roman"/>
            <w:sz w:val="28"/>
            <w:szCs w:val="28"/>
            <w:rtl w:val="0"/>
          </w:rPr>
          <w:t xml:space="preserve"> </w:t>
        </w:r>
      </w:hyperlink>
      <w:hyperlink r:id="rId30">
        <w:r w:rsidDel="00000000" w:rsidR="00000000" w:rsidRPr="00000000">
          <w:rPr>
            <w:rFonts w:ascii="Times New Roman" w:cs="Times New Roman" w:eastAsia="Times New Roman" w:hAnsi="Times New Roman"/>
            <w:sz w:val="28"/>
            <w:szCs w:val="28"/>
            <w:u w:val="single"/>
            <w:rtl w:val="0"/>
          </w:rPr>
          <w:t xml:space="preserve">https://sale.goit.global/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B">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Quality Assurance (QA) Testing course. </w:t>
      </w:r>
      <w:r w:rsidDel="00000000" w:rsidR="00000000" w:rsidRPr="00000000">
        <w:rPr>
          <w:rFonts w:ascii="Times New Roman" w:cs="Times New Roman" w:eastAsia="Times New Roman" w:hAnsi="Times New Roman"/>
          <w:i w:val="1"/>
          <w:iCs w:val="1"/>
          <w:sz w:val="28"/>
          <w:szCs w:val="28"/>
          <w:rtl w:val="0"/>
        </w:rPr>
        <w:t xml:space="preserve">GoIT Global.</w:t>
      </w:r>
      <w:r w:rsidDel="00000000" w:rsidR="00000000" w:rsidRPr="00000000">
        <w:rPr>
          <w:rFonts w:ascii="Times New Roman" w:cs="Times New Roman" w:eastAsia="Times New Roman" w:hAnsi="Times New Roman"/>
          <w:sz w:val="28"/>
          <w:szCs w:val="28"/>
          <w:rtl w:val="0"/>
        </w:rPr>
        <w:t xml:space="preserve"> URL:</w:t>
      </w:r>
      <w:hyperlink r:id="rId31">
        <w:r w:rsidDel="00000000" w:rsidR="00000000" w:rsidRPr="00000000">
          <w:rPr>
            <w:rFonts w:ascii="Times New Roman" w:cs="Times New Roman" w:eastAsia="Times New Roman" w:hAnsi="Times New Roman"/>
            <w:sz w:val="28"/>
            <w:szCs w:val="28"/>
            <w:rtl w:val="0"/>
          </w:rPr>
          <w:t xml:space="preserve"> </w:t>
        </w:r>
      </w:hyperlink>
      <w:hyperlink r:id="rId32">
        <w:r w:rsidDel="00000000" w:rsidR="00000000" w:rsidRPr="00000000">
          <w:rPr>
            <w:rFonts w:ascii="Times New Roman" w:cs="Times New Roman" w:eastAsia="Times New Roman" w:hAnsi="Times New Roman"/>
            <w:sz w:val="28"/>
            <w:szCs w:val="28"/>
            <w:u w:val="single"/>
            <w:rtl w:val="0"/>
          </w:rPr>
          <w:t xml:space="preserve">https://goit.global/ph/courses/qa/</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C">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Analyst from Scratch course. </w:t>
      </w:r>
      <w:r w:rsidDel="00000000" w:rsidR="00000000" w:rsidRPr="00000000">
        <w:rPr>
          <w:rFonts w:ascii="Times New Roman" w:cs="Times New Roman" w:eastAsia="Times New Roman" w:hAnsi="Times New Roman"/>
          <w:i w:val="1"/>
          <w:iCs w:val="1"/>
          <w:sz w:val="28"/>
          <w:szCs w:val="28"/>
          <w:rtl w:val="0"/>
        </w:rPr>
        <w:t xml:space="preserve">GoIT Global.</w:t>
      </w:r>
      <w:r w:rsidDel="00000000" w:rsidR="00000000" w:rsidRPr="00000000">
        <w:rPr>
          <w:rFonts w:ascii="Times New Roman" w:cs="Times New Roman" w:eastAsia="Times New Roman" w:hAnsi="Times New Roman"/>
          <w:sz w:val="28"/>
          <w:szCs w:val="28"/>
          <w:rtl w:val="0"/>
        </w:rPr>
        <w:t xml:space="preserve"> URL:</w:t>
      </w:r>
      <w:hyperlink r:id="rId33">
        <w:r w:rsidDel="00000000" w:rsidR="00000000" w:rsidRPr="00000000">
          <w:rPr>
            <w:rFonts w:ascii="Times New Roman" w:cs="Times New Roman" w:eastAsia="Times New Roman" w:hAnsi="Times New Roman"/>
            <w:sz w:val="28"/>
            <w:szCs w:val="28"/>
            <w:rtl w:val="0"/>
          </w:rPr>
          <w:t xml:space="preserve"> </w:t>
        </w:r>
      </w:hyperlink>
      <w:hyperlink r:id="rId34">
        <w:r w:rsidDel="00000000" w:rsidR="00000000" w:rsidRPr="00000000">
          <w:rPr>
            <w:rFonts w:ascii="Times New Roman" w:cs="Times New Roman" w:eastAsia="Times New Roman" w:hAnsi="Times New Roman"/>
            <w:sz w:val="28"/>
            <w:szCs w:val="28"/>
            <w:u w:val="single"/>
            <w:rtl w:val="0"/>
          </w:rPr>
          <w:t xml:space="preserve">https://goit.global/ph/courses/data-analytics/</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D">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lexxai. GoIT Python Data Science Homeworks. </w:t>
      </w:r>
      <w:r w:rsidDel="00000000" w:rsidR="00000000" w:rsidRPr="00000000">
        <w:rPr>
          <w:rFonts w:ascii="Times New Roman" w:cs="Times New Roman" w:eastAsia="Times New Roman" w:hAnsi="Times New Roman"/>
          <w:i w:val="1"/>
          <w:iCs w:val="1"/>
          <w:sz w:val="28"/>
          <w:szCs w:val="28"/>
          <w:rtl w:val="0"/>
        </w:rPr>
        <w:t xml:space="preserve">GitHub.</w:t>
      </w:r>
      <w:r w:rsidDel="00000000" w:rsidR="00000000" w:rsidRPr="00000000">
        <w:rPr>
          <w:rFonts w:ascii="Times New Roman" w:cs="Times New Roman" w:eastAsia="Times New Roman" w:hAnsi="Times New Roman"/>
          <w:sz w:val="28"/>
          <w:szCs w:val="28"/>
          <w:rtl w:val="0"/>
        </w:rPr>
        <w:t xml:space="preserve"> URL:</w:t>
      </w:r>
      <w:hyperlink r:id="rId35">
        <w:r w:rsidDel="00000000" w:rsidR="00000000" w:rsidRPr="00000000">
          <w:rPr>
            <w:rFonts w:ascii="Times New Roman" w:cs="Times New Roman" w:eastAsia="Times New Roman" w:hAnsi="Times New Roman"/>
            <w:sz w:val="28"/>
            <w:szCs w:val="28"/>
            <w:rtl w:val="0"/>
          </w:rPr>
          <w:t xml:space="preserve"> </w:t>
        </w:r>
      </w:hyperlink>
      <w:hyperlink r:id="rId36">
        <w:r w:rsidDel="00000000" w:rsidR="00000000" w:rsidRPr="00000000">
          <w:rPr>
            <w:rFonts w:ascii="Times New Roman" w:cs="Times New Roman" w:eastAsia="Times New Roman" w:hAnsi="Times New Roman"/>
            <w:sz w:val="28"/>
            <w:szCs w:val="28"/>
            <w:u w:val="single"/>
            <w:rtl w:val="0"/>
          </w:rPr>
          <w:t xml:space="preserve">https://github.com/lexxai/goit_python_data_sciense_homework</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E">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 design із володінням АІ. </w:t>
      </w:r>
      <w:r w:rsidDel="00000000" w:rsidR="00000000" w:rsidRPr="00000000">
        <w:rPr>
          <w:rFonts w:ascii="Times New Roman" w:cs="Times New Roman" w:eastAsia="Times New Roman" w:hAnsi="Times New Roman"/>
          <w:i w:val="1"/>
          <w:iCs w:val="1"/>
          <w:sz w:val="28"/>
          <w:szCs w:val="28"/>
          <w:rtl w:val="0"/>
        </w:rPr>
        <w:t xml:space="preserve">GoIT Global.</w:t>
      </w:r>
      <w:r w:rsidDel="00000000" w:rsidR="00000000" w:rsidRPr="00000000">
        <w:rPr>
          <w:rFonts w:ascii="Times New Roman" w:cs="Times New Roman" w:eastAsia="Times New Roman" w:hAnsi="Times New Roman"/>
          <w:sz w:val="28"/>
          <w:szCs w:val="28"/>
          <w:rtl w:val="0"/>
        </w:rPr>
        <w:t xml:space="preserve"> URL:</w:t>
      </w:r>
      <w:hyperlink r:id="rId37">
        <w:r w:rsidDel="00000000" w:rsidR="00000000" w:rsidRPr="00000000">
          <w:rPr>
            <w:rFonts w:ascii="Times New Roman" w:cs="Times New Roman" w:eastAsia="Times New Roman" w:hAnsi="Times New Roman"/>
            <w:sz w:val="28"/>
            <w:szCs w:val="28"/>
            <w:rtl w:val="0"/>
          </w:rPr>
          <w:t xml:space="preserve"> </w:t>
        </w:r>
      </w:hyperlink>
      <w:hyperlink r:id="rId38">
        <w:r w:rsidDel="00000000" w:rsidR="00000000" w:rsidRPr="00000000">
          <w:rPr>
            <w:rFonts w:ascii="Times New Roman" w:cs="Times New Roman" w:eastAsia="Times New Roman" w:hAnsi="Times New Roman"/>
            <w:sz w:val="28"/>
            <w:szCs w:val="28"/>
            <w:u w:val="single"/>
            <w:rtl w:val="0"/>
          </w:rPr>
          <w:t xml:space="preserve">https://uxdesign-direct-lp-ua.goit.global/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F">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Головна сторінка LMS. </w:t>
      </w:r>
      <w:r w:rsidDel="00000000" w:rsidR="00000000" w:rsidRPr="00000000">
        <w:rPr>
          <w:rFonts w:ascii="Times New Roman" w:cs="Times New Roman" w:eastAsia="Times New Roman" w:hAnsi="Times New Roman"/>
          <w:i w:val="1"/>
          <w:iCs w:val="1"/>
          <w:sz w:val="28"/>
          <w:szCs w:val="28"/>
          <w:rtl w:val="0"/>
        </w:rPr>
        <w:t xml:space="preserve">GoIT.</w:t>
      </w:r>
      <w:r w:rsidDel="00000000" w:rsidR="00000000" w:rsidRPr="00000000">
        <w:rPr>
          <w:rFonts w:ascii="Times New Roman" w:cs="Times New Roman" w:eastAsia="Times New Roman" w:hAnsi="Times New Roman"/>
          <w:sz w:val="28"/>
          <w:szCs w:val="28"/>
          <w:rtl w:val="0"/>
        </w:rPr>
        <w:t xml:space="preserve"> URL:</w:t>
      </w:r>
      <w:hyperlink r:id="rId39">
        <w:r w:rsidDel="00000000" w:rsidR="00000000" w:rsidRPr="00000000">
          <w:rPr>
            <w:rFonts w:ascii="Times New Roman" w:cs="Times New Roman" w:eastAsia="Times New Roman" w:hAnsi="Times New Roman"/>
            <w:sz w:val="28"/>
            <w:szCs w:val="28"/>
            <w:rtl w:val="0"/>
          </w:rPr>
          <w:t xml:space="preserve"> </w:t>
        </w:r>
      </w:hyperlink>
      <w:hyperlink r:id="rId40">
        <w:r w:rsidDel="00000000" w:rsidR="00000000" w:rsidRPr="00000000">
          <w:rPr>
            <w:rFonts w:ascii="Times New Roman" w:cs="Times New Roman" w:eastAsia="Times New Roman" w:hAnsi="Times New Roman"/>
            <w:sz w:val="28"/>
            <w:szCs w:val="28"/>
            <w:u w:val="single"/>
            <w:rtl w:val="0"/>
          </w:rPr>
          <w:t xml:space="preserve">https://www.edu.goit.global/uk</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0">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 онлайн курси IT. </w:t>
      </w:r>
      <w:r w:rsidDel="00000000" w:rsidR="00000000" w:rsidRPr="00000000">
        <w:rPr>
          <w:rFonts w:ascii="Times New Roman" w:cs="Times New Roman" w:eastAsia="Times New Roman" w:hAnsi="Times New Roman"/>
          <w:i w:val="1"/>
          <w:iCs w:val="1"/>
          <w:sz w:val="28"/>
          <w:szCs w:val="28"/>
          <w:rtl w:val="0"/>
        </w:rPr>
        <w:t xml:space="preserve">Google Play.</w:t>
      </w:r>
      <w:r w:rsidDel="00000000" w:rsidR="00000000" w:rsidRPr="00000000">
        <w:rPr>
          <w:rFonts w:ascii="Times New Roman" w:cs="Times New Roman" w:eastAsia="Times New Roman" w:hAnsi="Times New Roman"/>
          <w:sz w:val="28"/>
          <w:szCs w:val="28"/>
          <w:rtl w:val="0"/>
        </w:rPr>
        <w:t xml:space="preserve"> URL:</w:t>
      </w:r>
      <w:hyperlink r:id="rId41">
        <w:r w:rsidDel="00000000" w:rsidR="00000000" w:rsidRPr="00000000">
          <w:rPr>
            <w:rFonts w:ascii="Times New Roman" w:cs="Times New Roman" w:eastAsia="Times New Roman" w:hAnsi="Times New Roman"/>
            <w:sz w:val="28"/>
            <w:szCs w:val="28"/>
            <w:rtl w:val="0"/>
          </w:rPr>
          <w:t xml:space="preserve"> </w:t>
        </w:r>
      </w:hyperlink>
      <w:hyperlink r:id="rId42">
        <w:r w:rsidDel="00000000" w:rsidR="00000000" w:rsidRPr="00000000">
          <w:rPr>
            <w:rFonts w:ascii="Times New Roman" w:cs="Times New Roman" w:eastAsia="Times New Roman" w:hAnsi="Times New Roman"/>
            <w:sz w:val="28"/>
            <w:szCs w:val="28"/>
            <w:u w:val="single"/>
            <w:rtl w:val="0"/>
          </w:rPr>
          <w:t xml:space="preserve">https://play.google.com/store/apps/details?id=com.goitlmsmobile&amp;hl=uk</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1">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LMS: Empowering emerging markets with high-quality tech education. </w:t>
      </w:r>
      <w:r w:rsidDel="00000000" w:rsidR="00000000" w:rsidRPr="00000000">
        <w:rPr>
          <w:rFonts w:ascii="Times New Roman" w:cs="Times New Roman" w:eastAsia="Times New Roman" w:hAnsi="Times New Roman"/>
          <w:i w:val="1"/>
          <w:iCs w:val="1"/>
          <w:sz w:val="28"/>
          <w:szCs w:val="28"/>
          <w:rtl w:val="0"/>
        </w:rPr>
        <w:t xml:space="preserve">Product Hunt.</w:t>
      </w:r>
      <w:r w:rsidDel="00000000" w:rsidR="00000000" w:rsidRPr="00000000">
        <w:rPr>
          <w:rFonts w:ascii="Times New Roman" w:cs="Times New Roman" w:eastAsia="Times New Roman" w:hAnsi="Times New Roman"/>
          <w:sz w:val="28"/>
          <w:szCs w:val="28"/>
          <w:rtl w:val="0"/>
        </w:rPr>
        <w:t xml:space="preserve"> URL:</w:t>
      </w:r>
      <w:hyperlink r:id="rId43">
        <w:r w:rsidDel="00000000" w:rsidR="00000000" w:rsidRPr="00000000">
          <w:rPr>
            <w:rFonts w:ascii="Times New Roman" w:cs="Times New Roman" w:eastAsia="Times New Roman" w:hAnsi="Times New Roman"/>
            <w:sz w:val="28"/>
            <w:szCs w:val="28"/>
            <w:rtl w:val="0"/>
          </w:rPr>
          <w:t xml:space="preserve"> </w:t>
        </w:r>
      </w:hyperlink>
      <w:hyperlink r:id="rId44">
        <w:r w:rsidDel="00000000" w:rsidR="00000000" w:rsidRPr="00000000">
          <w:rPr>
            <w:rFonts w:ascii="Times New Roman" w:cs="Times New Roman" w:eastAsia="Times New Roman" w:hAnsi="Times New Roman"/>
            <w:sz w:val="28"/>
            <w:szCs w:val="28"/>
            <w:u w:val="single"/>
            <w:rtl w:val="0"/>
          </w:rPr>
          <w:t xml:space="preserve">https://www.producthunt.com/products/goit-lms</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2">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LMS is a platform for IT courses. </w:t>
      </w:r>
      <w:r w:rsidDel="00000000" w:rsidR="00000000" w:rsidRPr="00000000">
        <w:rPr>
          <w:rFonts w:ascii="Times New Roman" w:cs="Times New Roman" w:eastAsia="Times New Roman" w:hAnsi="Times New Roman"/>
          <w:i w:val="1"/>
          <w:iCs w:val="1"/>
          <w:sz w:val="28"/>
          <w:szCs w:val="28"/>
          <w:rtl w:val="0"/>
        </w:rPr>
        <w:t xml:space="preserve">GoIT.</w:t>
      </w:r>
      <w:r w:rsidDel="00000000" w:rsidR="00000000" w:rsidRPr="00000000">
        <w:rPr>
          <w:rFonts w:ascii="Times New Roman" w:cs="Times New Roman" w:eastAsia="Times New Roman" w:hAnsi="Times New Roman"/>
          <w:sz w:val="28"/>
          <w:szCs w:val="28"/>
          <w:rtl w:val="0"/>
        </w:rPr>
        <w:t xml:space="preserve"> URL:</w:t>
      </w:r>
      <w:hyperlink r:id="rId45">
        <w:r w:rsidDel="00000000" w:rsidR="00000000" w:rsidRPr="00000000">
          <w:rPr>
            <w:rFonts w:ascii="Times New Roman" w:cs="Times New Roman" w:eastAsia="Times New Roman" w:hAnsi="Times New Roman"/>
            <w:sz w:val="28"/>
            <w:szCs w:val="28"/>
            <w:rtl w:val="0"/>
          </w:rPr>
          <w:t xml:space="preserve"> </w:t>
        </w:r>
      </w:hyperlink>
      <w:hyperlink r:id="rId46">
        <w:r w:rsidDel="00000000" w:rsidR="00000000" w:rsidRPr="00000000">
          <w:rPr>
            <w:rFonts w:ascii="Times New Roman" w:cs="Times New Roman" w:eastAsia="Times New Roman" w:hAnsi="Times New Roman"/>
            <w:sz w:val="28"/>
            <w:szCs w:val="28"/>
            <w:u w:val="single"/>
            <w:rtl w:val="0"/>
          </w:rPr>
          <w:t xml:space="preserve">https://www.edu.goit.global/</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3">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GoIT: відгуки про курси 2025. </w:t>
      </w:r>
      <w:r w:rsidDel="00000000" w:rsidR="00000000" w:rsidRPr="00000000">
        <w:rPr>
          <w:rFonts w:ascii="Times New Roman" w:cs="Times New Roman" w:eastAsia="Times New Roman" w:hAnsi="Times New Roman"/>
          <w:i w:val="1"/>
          <w:iCs w:val="1"/>
          <w:sz w:val="28"/>
          <w:szCs w:val="28"/>
          <w:rtl w:val="0"/>
        </w:rPr>
        <w:t xml:space="preserve">IT Hub.</w:t>
      </w:r>
      <w:r w:rsidDel="00000000" w:rsidR="00000000" w:rsidRPr="00000000">
        <w:rPr>
          <w:rFonts w:ascii="Times New Roman" w:cs="Times New Roman" w:eastAsia="Times New Roman" w:hAnsi="Times New Roman"/>
          <w:sz w:val="28"/>
          <w:szCs w:val="28"/>
          <w:rtl w:val="0"/>
        </w:rPr>
        <w:t xml:space="preserve"> URL:</w:t>
      </w:r>
      <w:hyperlink r:id="rId47">
        <w:r w:rsidDel="00000000" w:rsidR="00000000" w:rsidRPr="00000000">
          <w:rPr>
            <w:rFonts w:ascii="Times New Roman" w:cs="Times New Roman" w:eastAsia="Times New Roman" w:hAnsi="Times New Roman"/>
            <w:sz w:val="28"/>
            <w:szCs w:val="28"/>
            <w:rtl w:val="0"/>
          </w:rPr>
          <w:t xml:space="preserve"> </w:t>
        </w:r>
      </w:hyperlink>
      <w:hyperlink r:id="rId48">
        <w:r w:rsidDel="00000000" w:rsidR="00000000" w:rsidRPr="00000000">
          <w:rPr>
            <w:rFonts w:ascii="Times New Roman" w:cs="Times New Roman" w:eastAsia="Times New Roman" w:hAnsi="Times New Roman"/>
            <w:sz w:val="28"/>
            <w:szCs w:val="28"/>
            <w:u w:val="single"/>
            <w:rtl w:val="0"/>
          </w:rPr>
          <w:t xml:space="preserve">https://ithub.ua/it-school/goit/review?page=1</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4">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 шукати роботу в IT: досвід випускників GoIT. </w:t>
      </w:r>
      <w:r w:rsidDel="00000000" w:rsidR="00000000" w:rsidRPr="00000000">
        <w:rPr>
          <w:rFonts w:ascii="Times New Roman" w:cs="Times New Roman" w:eastAsia="Times New Roman" w:hAnsi="Times New Roman"/>
          <w:i w:val="1"/>
          <w:iCs w:val="1"/>
          <w:sz w:val="28"/>
          <w:szCs w:val="28"/>
          <w:rtl w:val="0"/>
        </w:rPr>
        <w:t xml:space="preserve">Kharkiv IT Cluster.</w:t>
      </w:r>
      <w:r w:rsidDel="00000000" w:rsidR="00000000" w:rsidRPr="00000000">
        <w:rPr>
          <w:rFonts w:ascii="Times New Roman" w:cs="Times New Roman" w:eastAsia="Times New Roman" w:hAnsi="Times New Roman"/>
          <w:sz w:val="28"/>
          <w:szCs w:val="28"/>
          <w:rtl w:val="0"/>
        </w:rPr>
        <w:t xml:space="preserve"> URL:</w:t>
      </w:r>
      <w:hyperlink r:id="rId49">
        <w:r w:rsidDel="00000000" w:rsidR="00000000" w:rsidRPr="00000000">
          <w:rPr>
            <w:rFonts w:ascii="Times New Roman" w:cs="Times New Roman" w:eastAsia="Times New Roman" w:hAnsi="Times New Roman"/>
            <w:sz w:val="28"/>
            <w:szCs w:val="28"/>
            <w:rtl w:val="0"/>
          </w:rPr>
          <w:t xml:space="preserve"> </w:t>
        </w:r>
      </w:hyperlink>
      <w:hyperlink r:id="rId50">
        <w:r w:rsidDel="00000000" w:rsidR="00000000" w:rsidRPr="00000000">
          <w:rPr>
            <w:rFonts w:ascii="Times New Roman" w:cs="Times New Roman" w:eastAsia="Times New Roman" w:hAnsi="Times New Roman"/>
            <w:sz w:val="28"/>
            <w:szCs w:val="28"/>
            <w:u w:val="single"/>
            <w:rtl w:val="0"/>
          </w:rPr>
          <w:t xml:space="preserve">https://it-kharkiv.com/de-shukaty-robotu-v-it-dosvid-vypusknykiv-goit/</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5">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Найкращі IT-курси, для яких не потрібна профільна освіта. </w:t>
      </w:r>
      <w:r w:rsidDel="00000000" w:rsidR="00000000" w:rsidRPr="00000000">
        <w:rPr>
          <w:rFonts w:ascii="Times New Roman" w:cs="Times New Roman" w:eastAsia="Times New Roman" w:hAnsi="Times New Roman"/>
          <w:i w:val="1"/>
          <w:iCs w:val="1"/>
          <w:sz w:val="28"/>
          <w:szCs w:val="28"/>
          <w:rtl w:val="0"/>
        </w:rPr>
        <w:t xml:space="preserve">MC.today.</w:t>
      </w:r>
      <w:r w:rsidDel="00000000" w:rsidR="00000000" w:rsidRPr="00000000">
        <w:rPr>
          <w:rFonts w:ascii="Times New Roman" w:cs="Times New Roman" w:eastAsia="Times New Roman" w:hAnsi="Times New Roman"/>
          <w:sz w:val="28"/>
          <w:szCs w:val="28"/>
          <w:rtl w:val="0"/>
        </w:rPr>
        <w:t xml:space="preserve"> URL:</w:t>
      </w:r>
      <w:hyperlink r:id="rId51">
        <w:r w:rsidDel="00000000" w:rsidR="00000000" w:rsidRPr="00000000">
          <w:rPr>
            <w:rFonts w:ascii="Times New Roman" w:cs="Times New Roman" w:eastAsia="Times New Roman" w:hAnsi="Times New Roman"/>
            <w:sz w:val="28"/>
            <w:szCs w:val="28"/>
            <w:rtl w:val="0"/>
          </w:rPr>
          <w:t xml:space="preserve"> </w:t>
        </w:r>
      </w:hyperlink>
      <w:hyperlink r:id="rId52">
        <w:r w:rsidDel="00000000" w:rsidR="00000000" w:rsidRPr="00000000">
          <w:rPr>
            <w:rFonts w:ascii="Times New Roman" w:cs="Times New Roman" w:eastAsia="Times New Roman" w:hAnsi="Times New Roman"/>
            <w:sz w:val="28"/>
            <w:szCs w:val="28"/>
            <w:u w:val="single"/>
            <w:rtl w:val="0"/>
          </w:rPr>
          <w:t xml:space="preserve">https://mc.today/uk/dlya-novachkiv-i-svitcheriv-najkrashhi-it-kursi-dlya-yakih-ne-potribna-profilna-osvita/</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6">
      <w:pPr>
        <w:widowControl w:val="0"/>
        <w:numPr>
          <w:ilvl w:val="0"/>
          <w:numId w:val="24"/>
        </w:numPr>
        <w:spacing w:line="36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Тренди IT-освіти 2025: що варто взяти на озброєння вчителю інформатики. </w:t>
      </w:r>
      <w:r w:rsidDel="00000000" w:rsidR="00000000" w:rsidRPr="00000000">
        <w:rPr>
          <w:rFonts w:ascii="Times New Roman" w:cs="Times New Roman" w:eastAsia="Times New Roman" w:hAnsi="Times New Roman"/>
          <w:i w:val="1"/>
          <w:iCs w:val="1"/>
          <w:sz w:val="28"/>
          <w:szCs w:val="28"/>
          <w:rtl w:val="0"/>
        </w:rPr>
        <w:t xml:space="preserve">Formula Education.</w:t>
      </w:r>
      <w:r w:rsidDel="00000000" w:rsidR="00000000" w:rsidRPr="00000000">
        <w:rPr>
          <w:rFonts w:ascii="Times New Roman" w:cs="Times New Roman" w:eastAsia="Times New Roman" w:hAnsi="Times New Roman"/>
          <w:sz w:val="28"/>
          <w:szCs w:val="28"/>
          <w:rtl w:val="0"/>
        </w:rPr>
        <w:t xml:space="preserve"> 11.06.2025. URL:</w:t>
      </w:r>
      <w:hyperlink r:id="rId53">
        <w:r w:rsidDel="00000000" w:rsidR="00000000" w:rsidRPr="00000000">
          <w:rPr>
            <w:rFonts w:ascii="Times New Roman" w:cs="Times New Roman" w:eastAsia="Times New Roman" w:hAnsi="Times New Roman"/>
            <w:sz w:val="28"/>
            <w:szCs w:val="28"/>
            <w:rtl w:val="0"/>
          </w:rPr>
          <w:t xml:space="preserve"> </w:t>
        </w:r>
      </w:hyperlink>
      <w:hyperlink r:id="rId54">
        <w:r w:rsidDel="00000000" w:rsidR="00000000" w:rsidRPr="00000000">
          <w:rPr>
            <w:rFonts w:ascii="Times New Roman" w:cs="Times New Roman" w:eastAsia="Times New Roman" w:hAnsi="Times New Roman"/>
            <w:sz w:val="28"/>
            <w:szCs w:val="28"/>
            <w:u w:val="single"/>
            <w:rtl w:val="0"/>
          </w:rPr>
          <w:t xml:space="preserve">https://formula.education/2025/06/11/trendy-it-osvity-2025-shho-varto-vzyaty-na-ozbroyennya-vchytelyu-informatyky/</w:t>
        </w:r>
      </w:hyperlink>
      <w:r w:rsidDel="00000000" w:rsidR="00000000" w:rsidRPr="00000000">
        <w:rPr>
          <w:rFonts w:ascii="Times New Roman" w:cs="Times New Roman" w:eastAsia="Times New Roman" w:hAnsi="Times New Roman"/>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line="240" w:lineRule="auto"/>
        <w:ind w:left="283.46456692913375" w:right="-844.7244094488178" w:firstLine="0"/>
        <w:jc w:val="center"/>
        <w:rPr>
          <w:rFonts w:ascii="Times New Roman" w:cs="Times New Roman" w:eastAsia="Times New Roman" w:hAnsi="Times New Roman"/>
          <w:b w:val="1"/>
          <w:bCs w:val="1"/>
          <w:sz w:val="28"/>
          <w:szCs w:val="28"/>
        </w:rPr>
      </w:pPr>
      <w:bookmarkStart w:colFirst="0" w:colLast="0" w:name="_alxur0baleku" w:id="27"/>
      <w:bookmarkEnd w:id="27"/>
      <w:r w:rsidDel="00000000" w:rsidR="00000000" w:rsidRPr="00000000">
        <w:rPr>
          <w:rFonts w:ascii="Times New Roman" w:cs="Times New Roman" w:eastAsia="Times New Roman" w:hAnsi="Times New Roman"/>
          <w:b w:val="1"/>
          <w:bCs w:val="1"/>
          <w:sz w:val="28"/>
          <w:szCs w:val="28"/>
          <w:rtl w:val="0"/>
        </w:rPr>
        <w:t xml:space="preserve">Додаток А </w:t>
        <w:br w:type="textWrapping"/>
        <w:t xml:space="preserve">Детальний огляд валідованих опитувальників</w:t>
      </w:r>
    </w:p>
    <w:p w:rsidR="00000000" w:rsidDel="00000000" w:rsidP="00000000" w:rsidRDefault="00000000" w:rsidRPr="00000000" w14:paraId="00000168">
      <w:pPr>
        <w:spacing w:after="240" w:before="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оцінки ефективності запропонованої методології дизайну та перевірки впливу гейміфікованих елементів на мотивацію та залученість користувачів (як це зазначено у пункті 11 "План валідації" щоденника практики), критично важливо використовувати валідовані психометричні інструменти. Пряма імплементація моделей </w:t>
      </w:r>
      <w:r w:rsidDel="00000000" w:rsidR="00000000" w:rsidRPr="00000000">
        <w:rPr>
          <w:rFonts w:ascii="Times New Roman" w:cs="Times New Roman" w:eastAsia="Times New Roman" w:hAnsi="Times New Roman"/>
          <w:sz w:val="28"/>
          <w:szCs w:val="28"/>
          <w:rtl w:val="0"/>
        </w:rPr>
        <w:t xml:space="preserve">HMSAM або UTAUT</w:t>
      </w:r>
      <w:r w:rsidDel="00000000" w:rsidR="00000000" w:rsidRPr="00000000">
        <w:rPr>
          <w:rFonts w:ascii="Times New Roman" w:cs="Times New Roman" w:eastAsia="Times New Roman" w:hAnsi="Times New Roman"/>
          <w:sz w:val="28"/>
          <w:szCs w:val="28"/>
          <w:rtl w:val="0"/>
        </w:rPr>
        <w:t xml:space="preserve">, хоч і є поширеною, часто поступається більш спеціалізованим опитувальникам, розробленим саме для гейміфікації.</w:t>
      </w:r>
    </w:p>
    <w:p w:rsidR="00000000" w:rsidDel="00000000" w:rsidP="00000000" w:rsidRDefault="00000000" w:rsidRPr="00000000" w14:paraId="00000169">
      <w:pPr>
        <w:spacing w:after="240" w:before="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академічної літератури виявив декілька ключових, перевірених інструментів, що найчастіше використовуються для вимірювання ігрового досвіду та мотивації.</w:t>
      </w:r>
    </w:p>
    <w:p w:rsidR="00000000" w:rsidDel="00000000" w:rsidP="00000000" w:rsidRDefault="00000000" w:rsidRPr="00000000" w14:paraId="0000016A">
      <w:pPr>
        <w:pStyle w:val="Heading2"/>
        <w:keepNext w:val="0"/>
        <w:keepLines w:val="0"/>
        <w:spacing w:before="280" w:lineRule="auto"/>
        <w:ind w:left="283.46456692913375" w:right="-844.7244094488178" w:firstLine="0"/>
        <w:rPr>
          <w:b w:val="1"/>
          <w:bCs w:val="1"/>
          <w:sz w:val="28"/>
          <w:szCs w:val="28"/>
        </w:rPr>
      </w:pPr>
      <w:bookmarkStart w:colFirst="0" w:colLast="0" w:name="_9u7tnda8abod" w:id="28"/>
      <w:bookmarkEnd w:id="28"/>
      <w:r w:rsidDel="00000000" w:rsidR="00000000" w:rsidRPr="00000000">
        <w:rPr>
          <w:b w:val="1"/>
          <w:bCs w:val="1"/>
          <w:sz w:val="28"/>
          <w:szCs w:val="28"/>
          <w:rtl w:val="0"/>
        </w:rPr>
        <w:t xml:space="preserve">Додаток А.1. The Gameful Experience Questionnaire (GAMEFULQUEST)</w:t>
      </w:r>
    </w:p>
    <w:p w:rsidR="00000000" w:rsidDel="00000000" w:rsidP="00000000" w:rsidRDefault="00000000" w:rsidRPr="00000000" w14:paraId="0000016B">
      <w:pPr>
        <w:spacing w:after="240" w:before="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GAMEFULQUEST є одним з найбільш поширених багатовимірних опитувальників для оцінки ігрового досвіду. Розроблений Wendel та ін., він надає детальне розуміння того, як користувачі сприймають гейміфіковане середовище.</w:t>
      </w:r>
    </w:p>
    <w:p w:rsidR="00000000" w:rsidDel="00000000" w:rsidP="00000000" w:rsidRDefault="00000000" w:rsidRPr="00000000" w14:paraId="0000016C">
      <w:pPr>
        <w:numPr>
          <w:ilvl w:val="0"/>
          <w:numId w:val="18"/>
        </w:numPr>
        <w:spacing w:after="0" w:afterAutospacing="0" w:before="240" w:lineRule="auto"/>
        <w:ind w:left="283.46456692913375" w:right="-844.7244094488178" w:firstLine="0"/>
        <w:rPr>
          <w:sz w:val="28"/>
          <w:szCs w:val="28"/>
        </w:rPr>
      </w:pPr>
      <w:r w:rsidDel="00000000" w:rsidR="00000000" w:rsidRPr="00000000">
        <w:rPr>
          <w:rFonts w:ascii="Times New Roman" w:cs="Times New Roman" w:eastAsia="Times New Roman" w:hAnsi="Times New Roman"/>
          <w:sz w:val="28"/>
          <w:szCs w:val="28"/>
          <w:rtl w:val="0"/>
        </w:rPr>
        <w:t xml:space="preserve">Структура: Він вимірює різні аспекти "ігровості", такі як грайливість (playfulness), соціальна взаємодія (social relatedness), та інші фактори залучення.</w:t>
      </w:r>
    </w:p>
    <w:p w:rsidR="00000000" w:rsidDel="00000000" w:rsidP="00000000" w:rsidRDefault="00000000" w:rsidRPr="00000000" w14:paraId="0000016D">
      <w:pPr>
        <w:numPr>
          <w:ilvl w:val="0"/>
          <w:numId w:val="18"/>
        </w:numPr>
        <w:spacing w:after="240" w:before="0" w:beforeAutospacing="0" w:lineRule="auto"/>
        <w:ind w:left="283.46456692913375" w:right="-844.7244094488178" w:firstLine="0"/>
        <w:rPr>
          <w:sz w:val="28"/>
          <w:szCs w:val="28"/>
        </w:rPr>
      </w:pPr>
      <w:r w:rsidDel="00000000" w:rsidR="00000000" w:rsidRPr="00000000">
        <w:rPr>
          <w:rFonts w:ascii="Times New Roman" w:cs="Times New Roman" w:eastAsia="Times New Roman" w:hAnsi="Times New Roman"/>
          <w:sz w:val="28"/>
          <w:szCs w:val="28"/>
          <w:rtl w:val="0"/>
        </w:rPr>
        <w:t xml:space="preserve">Застосування: Цей інструмент є особливо корисним для оцінки загального "ігрового" відчуття від програми, що робить його ідеальним для перевірки дизайну, базованого на фреймворку Octalysis.</w:t>
      </w:r>
    </w:p>
    <w:p w:rsidR="00000000" w:rsidDel="00000000" w:rsidP="00000000" w:rsidRDefault="00000000" w:rsidRPr="00000000" w14:paraId="0000016E">
      <w:pPr>
        <w:pStyle w:val="Heading2"/>
        <w:keepNext w:val="0"/>
        <w:keepLines w:val="0"/>
        <w:spacing w:before="280" w:lineRule="auto"/>
        <w:ind w:left="283.46456692913375" w:right="-844.7244094488178" w:firstLine="0"/>
        <w:rPr>
          <w:rFonts w:ascii="Times New Roman" w:cs="Times New Roman" w:eastAsia="Times New Roman" w:hAnsi="Times New Roman"/>
          <w:b w:val="1"/>
          <w:bCs w:val="1"/>
          <w:sz w:val="28"/>
          <w:szCs w:val="28"/>
        </w:rPr>
      </w:pPr>
      <w:bookmarkStart w:colFirst="0" w:colLast="0" w:name="_3qa8nhq2xtex" w:id="29"/>
      <w:bookmarkEnd w:id="29"/>
      <w:r w:rsidDel="00000000" w:rsidR="00000000" w:rsidRPr="00000000">
        <w:rPr>
          <w:rFonts w:ascii="Times New Roman" w:cs="Times New Roman" w:eastAsia="Times New Roman" w:hAnsi="Times New Roman"/>
          <w:b w:val="1"/>
          <w:bCs w:val="1"/>
          <w:sz w:val="28"/>
          <w:szCs w:val="28"/>
          <w:rtl w:val="0"/>
        </w:rPr>
        <w:t xml:space="preserve">Додаток А.2. Player Experience of Need Satisfaction (PENS)</w:t>
      </w:r>
    </w:p>
    <w:p w:rsidR="00000000" w:rsidDel="00000000" w:rsidP="00000000" w:rsidRDefault="00000000" w:rsidRPr="00000000" w14:paraId="0000016F">
      <w:pPr>
        <w:spacing w:after="240" w:before="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Опитувальник PENS (Досвід Гравця у Задоволенні Потреб) є фундаментальним інструментом для дизайнів, що спираються на Теорію Самодетермінації (SDT).</w:t>
      </w:r>
    </w:p>
    <w:p w:rsidR="00000000" w:rsidDel="00000000" w:rsidP="00000000" w:rsidRDefault="00000000" w:rsidRPr="00000000" w14:paraId="00000170">
      <w:pPr>
        <w:numPr>
          <w:ilvl w:val="0"/>
          <w:numId w:val="9"/>
        </w:numPr>
        <w:spacing w:after="0" w:afterAutospacing="0" w:before="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Структура: Він безпосередньо вимірює три основні психологічні потреби SDT:</w:t>
      </w:r>
    </w:p>
    <w:p w:rsidR="00000000" w:rsidDel="00000000" w:rsidP="00000000" w:rsidRDefault="00000000" w:rsidRPr="00000000" w14:paraId="00000171">
      <w:pPr>
        <w:numPr>
          <w:ilvl w:val="1"/>
          <w:numId w:val="9"/>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Автономія (відчуття вибору та контролю).</w:t>
      </w:r>
    </w:p>
    <w:p w:rsidR="00000000" w:rsidDel="00000000" w:rsidP="00000000" w:rsidRDefault="00000000" w:rsidRPr="00000000" w14:paraId="00000172">
      <w:pPr>
        <w:numPr>
          <w:ilvl w:val="1"/>
          <w:numId w:val="9"/>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Компетентність (відчуття майстерності та прогресу).</w:t>
      </w:r>
    </w:p>
    <w:p w:rsidR="00000000" w:rsidDel="00000000" w:rsidP="00000000" w:rsidRDefault="00000000" w:rsidRPr="00000000" w14:paraId="00000173">
      <w:pPr>
        <w:numPr>
          <w:ilvl w:val="1"/>
          <w:numId w:val="9"/>
        </w:numPr>
        <w:spacing w:after="24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Зв'язок (відчуття приналежності та соціальної взаємодії).</w:t>
      </w:r>
    </w:p>
    <w:p w:rsidR="00000000" w:rsidDel="00000000" w:rsidP="00000000" w:rsidRDefault="00000000" w:rsidRPr="00000000" w14:paraId="00000174">
      <w:pPr>
        <w:spacing w:after="240" w:before="240" w:lineRule="auto"/>
        <w:ind w:left="1440" w:right="-844.724409448817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numPr>
          <w:ilvl w:val="0"/>
          <w:numId w:val="9"/>
        </w:numPr>
        <w:spacing w:after="240" w:before="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Застосування: PENS є надзвичайно цінним для валідації навчальних систем, оскільки він дозволяє точно визначити, чи задовольняє гейміфікований дизайн базові мотиваційні потреби користувача, що є ключем до довготривалої внутрішньої мотивації.</w:t>
      </w:r>
    </w:p>
    <w:p w:rsidR="00000000" w:rsidDel="00000000" w:rsidP="00000000" w:rsidRDefault="00000000" w:rsidRPr="00000000" w14:paraId="00000176">
      <w:pPr>
        <w:pStyle w:val="Heading2"/>
        <w:keepNext w:val="0"/>
        <w:keepLines w:val="0"/>
        <w:spacing w:before="280" w:lineRule="auto"/>
        <w:ind w:left="283.46456692913375" w:right="-844.7244094488178" w:firstLine="0"/>
        <w:rPr>
          <w:rFonts w:ascii="Times New Roman" w:cs="Times New Roman" w:eastAsia="Times New Roman" w:hAnsi="Times New Roman"/>
          <w:b w:val="1"/>
          <w:bCs w:val="1"/>
          <w:sz w:val="28"/>
          <w:szCs w:val="28"/>
        </w:rPr>
      </w:pPr>
      <w:bookmarkStart w:colFirst="0" w:colLast="0" w:name="_xs7go66h8w5d" w:id="30"/>
      <w:bookmarkEnd w:id="30"/>
      <w:r w:rsidDel="00000000" w:rsidR="00000000" w:rsidRPr="00000000">
        <w:rPr>
          <w:rFonts w:ascii="Times New Roman" w:cs="Times New Roman" w:eastAsia="Times New Roman" w:hAnsi="Times New Roman"/>
          <w:b w:val="1"/>
          <w:bCs w:val="1"/>
          <w:sz w:val="28"/>
          <w:szCs w:val="28"/>
          <w:rtl w:val="0"/>
        </w:rPr>
        <w:t xml:space="preserve">Додаток А.3. MEEGA+ (Motivation, Engagement, and Efficacy in Gamified Applications)</w:t>
      </w:r>
    </w:p>
    <w:p w:rsidR="00000000" w:rsidDel="00000000" w:rsidP="00000000" w:rsidRDefault="00000000" w:rsidRPr="00000000" w14:paraId="00000177">
      <w:pPr>
        <w:spacing w:after="240" w:before="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MEEGA+</w:t>
      </w:r>
      <w:r w:rsidDel="00000000" w:rsidR="00000000" w:rsidRPr="00000000">
        <w:rPr>
          <w:rFonts w:ascii="Times New Roman" w:cs="Times New Roman" w:eastAsia="Times New Roman" w:hAnsi="Times New Roman"/>
          <w:sz w:val="28"/>
          <w:szCs w:val="28"/>
          <w:rtl w:val="0"/>
        </w:rPr>
        <w:t xml:space="preserve"> — це спеціалізований 30-пунктний опитувальник, розроблений та валідований спеціально для освітніх гейміфікованих додатків.</w:t>
      </w:r>
    </w:p>
    <w:p w:rsidR="00000000" w:rsidDel="00000000" w:rsidP="00000000" w:rsidRDefault="00000000" w:rsidRPr="00000000" w14:paraId="00000178">
      <w:pPr>
        <w:numPr>
          <w:ilvl w:val="0"/>
          <w:numId w:val="17"/>
        </w:numPr>
        <w:spacing w:after="0" w:afterAutospacing="0" w:before="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Структура</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Він оцінює три ключові компоненти:</w:t>
      </w:r>
    </w:p>
    <w:p w:rsidR="00000000" w:rsidDel="00000000" w:rsidP="00000000" w:rsidRDefault="00000000" w:rsidRPr="00000000" w14:paraId="00000179">
      <w:pPr>
        <w:numPr>
          <w:ilvl w:val="1"/>
          <w:numId w:val="17"/>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Мотивація (Motivation)</w:t>
      </w:r>
    </w:p>
    <w:p w:rsidR="00000000" w:rsidDel="00000000" w:rsidP="00000000" w:rsidRDefault="00000000" w:rsidRPr="00000000" w14:paraId="0000017A">
      <w:pPr>
        <w:numPr>
          <w:ilvl w:val="1"/>
          <w:numId w:val="17"/>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Залученість (Engagement)</w:t>
      </w:r>
    </w:p>
    <w:p w:rsidR="00000000" w:rsidDel="00000000" w:rsidP="00000000" w:rsidRDefault="00000000" w:rsidRPr="00000000" w14:paraId="0000017B">
      <w:pPr>
        <w:numPr>
          <w:ilvl w:val="1"/>
          <w:numId w:val="17"/>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Самоефективність</w:t>
      </w:r>
      <w:r w:rsidDel="00000000" w:rsidR="00000000" w:rsidRPr="00000000">
        <w:rPr>
          <w:rFonts w:ascii="Times New Roman" w:cs="Times New Roman" w:eastAsia="Times New Roman" w:hAnsi="Times New Roman"/>
          <w:sz w:val="28"/>
          <w:szCs w:val="28"/>
          <w:rtl w:val="0"/>
        </w:rPr>
        <w:t xml:space="preserve"> (Self-Efficacy).</w:t>
      </w:r>
    </w:p>
    <w:p w:rsidR="00000000" w:rsidDel="00000000" w:rsidP="00000000" w:rsidRDefault="00000000" w:rsidRPr="00000000" w14:paraId="0000017C">
      <w:pPr>
        <w:numPr>
          <w:ilvl w:val="0"/>
          <w:numId w:val="17"/>
        </w:numPr>
        <w:spacing w:after="240" w:before="0" w:before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Застосування</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Оскільки цей інструмент був валідований саме в освітньому контексті (EdTech), він є чудовим вибором для вимірювання того, чи вірять студенти у свою здатність досягти навчальних цілей за допомогою гейміфікованої системи.</w:t>
      </w:r>
    </w:p>
    <w:p w:rsidR="00000000" w:rsidDel="00000000" w:rsidP="00000000" w:rsidRDefault="00000000" w:rsidRPr="00000000" w14:paraId="0000017D">
      <w:pPr>
        <w:pStyle w:val="Heading2"/>
        <w:keepNext w:val="0"/>
        <w:keepLines w:val="0"/>
        <w:spacing w:before="280" w:lineRule="auto"/>
        <w:ind w:left="283.46456692913375" w:right="-844.7244094488178" w:firstLine="0"/>
        <w:rPr>
          <w:rFonts w:ascii="Times New Roman" w:cs="Times New Roman" w:eastAsia="Times New Roman" w:hAnsi="Times New Roman"/>
          <w:b w:val="1"/>
          <w:bCs w:val="1"/>
          <w:sz w:val="28"/>
          <w:szCs w:val="28"/>
        </w:rPr>
      </w:pPr>
      <w:bookmarkStart w:colFirst="0" w:colLast="0" w:name="_atgv94wc3q7l" w:id="31"/>
      <w:bookmarkEnd w:id="31"/>
      <w:r w:rsidDel="00000000" w:rsidR="00000000" w:rsidRPr="00000000">
        <w:rPr>
          <w:rFonts w:ascii="Times New Roman" w:cs="Times New Roman" w:eastAsia="Times New Roman" w:hAnsi="Times New Roman"/>
          <w:b w:val="1"/>
          <w:bCs w:val="1"/>
          <w:sz w:val="28"/>
          <w:szCs w:val="28"/>
          <w:rtl w:val="0"/>
        </w:rPr>
        <w:t xml:space="preserve">Додаток А.4. Intrinsic Motivation Inventory (IMI)</w:t>
      </w:r>
    </w:p>
    <w:p w:rsidR="00000000" w:rsidDel="00000000" w:rsidP="00000000" w:rsidRDefault="00000000" w:rsidRPr="00000000" w14:paraId="0000017E">
      <w:pPr>
        <w:spacing w:after="240" w:before="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IMI</w:t>
      </w:r>
      <w:r w:rsidDel="00000000" w:rsidR="00000000" w:rsidRPr="00000000">
        <w:rPr>
          <w:rFonts w:ascii="Times New Roman" w:cs="Times New Roman" w:eastAsia="Times New Roman" w:hAnsi="Times New Roman"/>
          <w:sz w:val="28"/>
          <w:szCs w:val="28"/>
          <w:rtl w:val="0"/>
        </w:rPr>
        <w:t xml:space="preserve"> (Опитувальник Внутрішньої Мотивації) є одним з найбільш фундаментальних та широко використовуваних інструментів. Хоча він і не розроблений </w:t>
      </w:r>
      <w:r w:rsidDel="00000000" w:rsidR="00000000" w:rsidRPr="00000000">
        <w:rPr>
          <w:rFonts w:ascii="Times New Roman" w:cs="Times New Roman" w:eastAsia="Times New Roman" w:hAnsi="Times New Roman"/>
          <w:i w:val="1"/>
          <w:iCs w:val="1"/>
          <w:sz w:val="28"/>
          <w:szCs w:val="28"/>
          <w:rtl w:val="0"/>
        </w:rPr>
        <w:t xml:space="preserve">тільки</w:t>
      </w:r>
      <w:r w:rsidDel="00000000" w:rsidR="00000000" w:rsidRPr="00000000">
        <w:rPr>
          <w:rFonts w:ascii="Times New Roman" w:cs="Times New Roman" w:eastAsia="Times New Roman" w:hAnsi="Times New Roman"/>
          <w:sz w:val="28"/>
          <w:szCs w:val="28"/>
          <w:rtl w:val="0"/>
        </w:rPr>
        <w:t xml:space="preserve"> для гейміфікації, його гнучкість дозволяє легко адаптувати його для таких цілей.</w:t>
      </w:r>
    </w:p>
    <w:p w:rsidR="00000000" w:rsidDel="00000000" w:rsidP="00000000" w:rsidRDefault="00000000" w:rsidRPr="00000000" w14:paraId="0000017F">
      <w:pPr>
        <w:numPr>
          <w:ilvl w:val="0"/>
          <w:numId w:val="26"/>
        </w:numPr>
        <w:spacing w:after="0" w:afterAutospacing="0" w:before="24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Структура</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IMI вимірює різні субшкали, що лежать в основі внутрішньої мотивації, зокрема:</w:t>
      </w:r>
    </w:p>
    <w:p w:rsidR="00000000" w:rsidDel="00000000" w:rsidP="00000000" w:rsidRDefault="00000000" w:rsidRPr="00000000" w14:paraId="00000180">
      <w:pPr>
        <w:numPr>
          <w:ilvl w:val="1"/>
          <w:numId w:val="26"/>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Інтерес / Задоволення (Interest/Enjoyment)</w:t>
      </w:r>
    </w:p>
    <w:p w:rsidR="00000000" w:rsidDel="00000000" w:rsidP="00000000" w:rsidRDefault="00000000" w:rsidRPr="00000000" w14:paraId="00000181">
      <w:pPr>
        <w:numPr>
          <w:ilvl w:val="1"/>
          <w:numId w:val="26"/>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Сприймана Компетентність (Perceived Competence)</w:t>
      </w:r>
    </w:p>
    <w:p w:rsidR="00000000" w:rsidDel="00000000" w:rsidP="00000000" w:rsidRDefault="00000000" w:rsidRPr="00000000" w14:paraId="00000182">
      <w:pPr>
        <w:numPr>
          <w:ilvl w:val="1"/>
          <w:numId w:val="26"/>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Зусилля / Важливість (Effort/Importance)</w:t>
      </w:r>
    </w:p>
    <w:p w:rsidR="00000000" w:rsidDel="00000000" w:rsidP="00000000" w:rsidRDefault="00000000" w:rsidRPr="00000000" w14:paraId="00000183">
      <w:pPr>
        <w:numPr>
          <w:ilvl w:val="1"/>
          <w:numId w:val="26"/>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Тиск / Напруга (Pressure/Tension)</w:t>
      </w:r>
    </w:p>
    <w:p w:rsidR="00000000" w:rsidDel="00000000" w:rsidP="00000000" w:rsidRDefault="00000000" w:rsidRPr="00000000" w14:paraId="00000184">
      <w:pPr>
        <w:numPr>
          <w:ilvl w:val="1"/>
          <w:numId w:val="26"/>
        </w:numPr>
        <w:spacing w:after="0" w:afterAutospacing="0" w:before="0" w:beforeAutospacing="0" w:lineRule="auto"/>
        <w:ind w:left="144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Сприйманий Вибір (Perceived Choice).</w:t>
      </w:r>
    </w:p>
    <w:p w:rsidR="00000000" w:rsidDel="00000000" w:rsidP="00000000" w:rsidRDefault="00000000" w:rsidRPr="00000000" w14:paraId="00000185">
      <w:pPr>
        <w:numPr>
          <w:ilvl w:val="0"/>
          <w:numId w:val="26"/>
        </w:numPr>
        <w:spacing w:after="240" w:before="0" w:beforeAutospacing="0" w:lineRule="auto"/>
        <w:ind w:left="720" w:right="-844.7244094488178"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Застосування</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Як і PENS, IMI часто використовується для перевірки гіпотез, базованих на SDT.</w:t>
      </w:r>
      <w:r w:rsidDel="00000000" w:rsidR="00000000" w:rsidRPr="00000000">
        <w:rPr>
          <w:rtl w:val="0"/>
        </w:rPr>
      </w:r>
    </w:p>
    <w:p w:rsidR="00000000" w:rsidDel="00000000" w:rsidP="00000000" w:rsidRDefault="00000000" w:rsidRPr="00000000" w14:paraId="00000186">
      <w:pPr>
        <w:pStyle w:val="Heading2"/>
        <w:keepNext w:val="0"/>
        <w:keepLines w:val="0"/>
        <w:spacing w:before="280" w:lineRule="auto"/>
        <w:ind w:left="283.46456692913375" w:right="-844.7244094488178" w:firstLine="0"/>
        <w:rPr>
          <w:rFonts w:ascii="Times New Roman" w:cs="Times New Roman" w:eastAsia="Times New Roman" w:hAnsi="Times New Roman"/>
          <w:b w:val="1"/>
          <w:bCs w:val="1"/>
          <w:sz w:val="28"/>
          <w:szCs w:val="28"/>
        </w:rPr>
      </w:pPr>
      <w:bookmarkStart w:colFirst="0" w:colLast="0" w:name="_iseat56xtkea" w:id="32"/>
      <w:bookmarkEnd w:id="32"/>
      <w:r w:rsidDel="00000000" w:rsidR="00000000" w:rsidRPr="00000000">
        <w:rPr>
          <w:rtl w:val="0"/>
        </w:rPr>
      </w:r>
    </w:p>
    <w:p w:rsidR="00000000" w:rsidDel="00000000" w:rsidP="00000000" w:rsidRDefault="00000000" w:rsidRPr="00000000" w14:paraId="00000187">
      <w:pPr>
        <w:pStyle w:val="Heading2"/>
        <w:keepNext w:val="0"/>
        <w:keepLines w:val="0"/>
        <w:spacing w:before="280" w:lineRule="auto"/>
        <w:ind w:left="283.46456692913375" w:right="-844.7244094488178" w:firstLine="0"/>
        <w:rPr>
          <w:rFonts w:ascii="Times New Roman" w:cs="Times New Roman" w:eastAsia="Times New Roman" w:hAnsi="Times New Roman"/>
          <w:b w:val="1"/>
          <w:bCs w:val="1"/>
          <w:sz w:val="28"/>
          <w:szCs w:val="28"/>
        </w:rPr>
      </w:pPr>
      <w:bookmarkStart w:colFirst="0" w:colLast="0" w:name="_qbthbqmgxsdg" w:id="33"/>
      <w:bookmarkEnd w:id="33"/>
      <w:r w:rsidDel="00000000" w:rsidR="00000000" w:rsidRPr="00000000">
        <w:rPr>
          <w:rFonts w:ascii="Times New Roman" w:cs="Times New Roman" w:eastAsia="Times New Roman" w:hAnsi="Times New Roman"/>
          <w:b w:val="1"/>
          <w:bCs w:val="1"/>
          <w:sz w:val="28"/>
          <w:szCs w:val="28"/>
          <w:rtl w:val="0"/>
        </w:rPr>
        <w:t xml:space="preserve">Додаток А.5 Ключові Висновки та Рекомендації</w:t>
      </w:r>
    </w:p>
    <w:p w:rsidR="00000000" w:rsidDel="00000000" w:rsidP="00000000" w:rsidRDefault="00000000" w:rsidRPr="00000000" w14:paraId="00000188">
      <w:pPr>
        <w:pStyle w:val="Heading2"/>
        <w:keepNext w:val="0"/>
        <w:keepLines w:val="0"/>
        <w:spacing w:before="280" w:lineRule="auto"/>
        <w:ind w:left="283.46456692913375" w:right="-844.7244094488178" w:firstLine="0"/>
        <w:rPr>
          <w:rFonts w:ascii="Times New Roman" w:cs="Times New Roman" w:eastAsia="Times New Roman" w:hAnsi="Times New Roman"/>
          <w:sz w:val="28"/>
          <w:szCs w:val="28"/>
        </w:rPr>
      </w:pPr>
      <w:bookmarkStart w:colFirst="0" w:colLast="0" w:name="_zhd91qbou18z" w:id="34"/>
      <w:bookmarkEnd w:id="34"/>
      <w:r w:rsidDel="00000000" w:rsidR="00000000" w:rsidRPr="00000000">
        <w:rPr>
          <w:rFonts w:ascii="Times New Roman" w:cs="Times New Roman" w:eastAsia="Times New Roman" w:hAnsi="Times New Roman"/>
          <w:sz w:val="28"/>
          <w:szCs w:val="28"/>
          <w:rtl w:val="0"/>
        </w:rPr>
        <w:t xml:space="preserve">Аналіз обох звітів показує, що, незважаючи на відсутність єдиного "золотого стандарту", вибір опитувальника має залежати від мети дослідження:</w:t>
      </w:r>
    </w:p>
    <w:p w:rsidR="00000000" w:rsidDel="00000000" w:rsidP="00000000" w:rsidRDefault="00000000" w:rsidRPr="00000000" w14:paraId="00000189">
      <w:pPr>
        <w:numPr>
          <w:ilvl w:val="0"/>
          <w:numId w:val="25"/>
        </w:numPr>
        <w:spacing w:after="0" w:afterAutospacing="0" w:before="240" w:lineRule="auto"/>
        <w:ind w:left="283.46456692913375" w:right="-844.7244094488178" w:firstLine="0"/>
        <w:rPr>
          <w:sz w:val="28"/>
          <w:szCs w:val="28"/>
        </w:rPr>
      </w:pPr>
      <w:r w:rsidDel="00000000" w:rsidR="00000000" w:rsidRPr="00000000">
        <w:rPr>
          <w:rFonts w:ascii="Times New Roman" w:cs="Times New Roman" w:eastAsia="Times New Roman" w:hAnsi="Times New Roman"/>
          <w:sz w:val="28"/>
          <w:szCs w:val="28"/>
          <w:rtl w:val="0"/>
        </w:rPr>
        <w:t xml:space="preserve">Для перевірки </w:t>
      </w:r>
      <w:r w:rsidDel="00000000" w:rsidR="00000000" w:rsidRPr="00000000">
        <w:rPr>
          <w:rFonts w:ascii="Times New Roman" w:cs="Times New Roman" w:eastAsia="Times New Roman" w:hAnsi="Times New Roman"/>
          <w:sz w:val="28"/>
          <w:szCs w:val="28"/>
          <w:rtl w:val="0"/>
        </w:rPr>
        <w:t xml:space="preserve">SDT-базованого дизайну (мапінг Персон на Автономію, Компетентність, Зв'язок) — найкращим вибором є PENS або IMI.</w:t>
      </w:r>
    </w:p>
    <w:p w:rsidR="00000000" w:rsidDel="00000000" w:rsidP="00000000" w:rsidRDefault="00000000" w:rsidRPr="00000000" w14:paraId="0000018A">
      <w:pPr>
        <w:numPr>
          <w:ilvl w:val="0"/>
          <w:numId w:val="25"/>
        </w:numPr>
        <w:spacing w:after="0" w:afterAutospacing="0" w:before="0" w:beforeAutospacing="0" w:lineRule="auto"/>
        <w:ind w:left="283.46456692913375" w:right="-844.7244094488178" w:firstLine="0"/>
        <w:rPr>
          <w:sz w:val="28"/>
          <w:szCs w:val="28"/>
        </w:rPr>
      </w:pPr>
      <w:r w:rsidDel="00000000" w:rsidR="00000000" w:rsidRPr="00000000">
        <w:rPr>
          <w:rFonts w:ascii="Times New Roman" w:cs="Times New Roman" w:eastAsia="Times New Roman" w:hAnsi="Times New Roman"/>
          <w:sz w:val="28"/>
          <w:szCs w:val="28"/>
          <w:rtl w:val="0"/>
        </w:rPr>
        <w:t xml:space="preserve">Для вимірювання ефективності в EdTech та віри студента у свої сили — варто використовувати MEEGA+.</w:t>
      </w:r>
    </w:p>
    <w:p w:rsidR="00000000" w:rsidDel="00000000" w:rsidP="00000000" w:rsidRDefault="00000000" w:rsidRPr="00000000" w14:paraId="0000018B">
      <w:pPr>
        <w:numPr>
          <w:ilvl w:val="0"/>
          <w:numId w:val="25"/>
        </w:numPr>
        <w:spacing w:after="240" w:before="0" w:beforeAutospacing="0" w:lineRule="auto"/>
        <w:ind w:left="283.46456692913375" w:right="-844.7244094488178" w:firstLine="0"/>
        <w:rPr>
          <w:sz w:val="28"/>
          <w:szCs w:val="28"/>
        </w:rPr>
      </w:pPr>
      <w:r w:rsidDel="00000000" w:rsidR="00000000" w:rsidRPr="00000000">
        <w:rPr>
          <w:rFonts w:ascii="Times New Roman" w:cs="Times New Roman" w:eastAsia="Times New Roman" w:hAnsi="Times New Roman"/>
          <w:sz w:val="28"/>
          <w:szCs w:val="28"/>
          <w:rtl w:val="0"/>
        </w:rPr>
        <w:t xml:space="preserve">Для оцінки загального "ігрового" досвіду (наскільки дизайн відчувається як гра, що важливо для Octalysis) — найкраще підходить GAMEFULQUEST.</w:t>
      </w:r>
    </w:p>
    <w:p w:rsidR="00000000" w:rsidDel="00000000" w:rsidP="00000000" w:rsidRDefault="00000000" w:rsidRPr="00000000" w14:paraId="0000018C">
      <w:pPr>
        <w:spacing w:after="240" w:before="240" w:lineRule="auto"/>
        <w:ind w:left="283.46456692913375" w:right="-844.724409448817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Однією з головних методологічних проблем у цій галузі залишається те, що багато дослідників створюють власні, невалідовані опитувальники, що ускладнює порівняння результатів. Також існує потреба у проведенні довготривалих (longitudinal) досліджень, щоб оцінити, чи зберігається мотиваційний ефект з часом.</w:t>
      </w:r>
    </w:p>
    <w:p w:rsidR="00000000" w:rsidDel="00000000" w:rsidP="00000000" w:rsidRDefault="00000000" w:rsidRPr="00000000" w14:paraId="0000018D">
      <w:pPr>
        <w:ind w:left="283.46456692913375" w:right="-844.7244094488178" w:firstLine="0"/>
        <w:rPr/>
      </w:pPr>
      <w:r w:rsidDel="00000000" w:rsidR="00000000" w:rsidRPr="00000000">
        <w:rPr>
          <w:rtl w:val="0"/>
        </w:rPr>
      </w:r>
    </w:p>
    <w:sectPr>
      <w:headerReference r:id="rId55" w:type="default"/>
      <w:headerReference r:id="rId5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ind w:right="-844.7244094488178"/>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153.0708661417325"/>
      </w:pPr>
      <w:rPr>
        <w:u w:val="none"/>
      </w:rPr>
    </w:lvl>
    <w:lvl w:ilvl="1">
      <w:start w:val="1"/>
      <w:numFmt w:val="decimal"/>
      <w:lvlText w:val="%1.%2."/>
      <w:lvlJc w:val="right"/>
      <w:pPr>
        <w:ind w:left="1133.858267716535" w:hanging="134.9999999999999"/>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right"/>
      <w:pPr>
        <w:ind w:left="720" w:hanging="153.0708661417325"/>
      </w:pPr>
      <w:rPr>
        <w:u w:val="none"/>
      </w:rPr>
    </w:lvl>
    <w:lvl w:ilvl="1">
      <w:start w:val="1"/>
      <w:numFmt w:val="decimal"/>
      <w:lvlText w:val="%1.%2."/>
      <w:lvlJc w:val="right"/>
      <w:pPr>
        <w:ind w:left="1275.5905511811022" w:hanging="13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du.goit.global/uk" TargetMode="External"/><Relationship Id="rId42" Type="http://schemas.openxmlformats.org/officeDocument/2006/relationships/hyperlink" Target="https://play.google.com/store/apps/details?id=com.goitlmsmobile&amp;hl=uk" TargetMode="External"/><Relationship Id="rId41" Type="http://schemas.openxmlformats.org/officeDocument/2006/relationships/hyperlink" Target="https://play.google.com/store/apps/details?id=com.goitlmsmobile&amp;hl=uk" TargetMode="External"/><Relationship Id="rId44" Type="http://schemas.openxmlformats.org/officeDocument/2006/relationships/hyperlink" Target="https://www.producthunt.com/products/goit-lms" TargetMode="External"/><Relationship Id="rId43" Type="http://schemas.openxmlformats.org/officeDocument/2006/relationships/hyperlink" Target="https://www.producthunt.com/products/goit-lms" TargetMode="External"/><Relationship Id="rId46" Type="http://schemas.openxmlformats.org/officeDocument/2006/relationships/hyperlink" Target="https://www.edu.goit.global/" TargetMode="External"/><Relationship Id="rId45" Type="http://schemas.openxmlformats.org/officeDocument/2006/relationships/hyperlink" Target="https://www.edu.goit.glob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bes.ua/news/shkola-programuvannya-goit-viyshla-z-rinkiv-latinskoi-ameriki-26122024-25904" TargetMode="External"/><Relationship Id="rId48" Type="http://schemas.openxmlformats.org/officeDocument/2006/relationships/hyperlink" Target="https://ithub.ua/it-school/goit/review?page=1" TargetMode="External"/><Relationship Id="rId47" Type="http://schemas.openxmlformats.org/officeDocument/2006/relationships/hyperlink" Target="https://ithub.ua/it-school/goit/review?page=1" TargetMode="External"/><Relationship Id="rId49" Type="http://schemas.openxmlformats.org/officeDocument/2006/relationships/hyperlink" Target="https://it-kharkiv.com/de-shukaty-robotu-v-it-dosvid-vypusknykiv-goit/" TargetMode="External"/><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yperlink" Target="https://doi.org/10.1002/cae.22754" TargetMode="External"/><Relationship Id="rId8" Type="http://schemas.openxmlformats.org/officeDocument/2006/relationships/hyperlink" Target="https://doi.org/10.1002/cae.22754" TargetMode="External"/><Relationship Id="rId31" Type="http://schemas.openxmlformats.org/officeDocument/2006/relationships/hyperlink" Target="https://goit.global/ph/courses/qa/" TargetMode="External"/><Relationship Id="rId30" Type="http://schemas.openxmlformats.org/officeDocument/2006/relationships/hyperlink" Target="https://sale.goit.global/" TargetMode="External"/><Relationship Id="rId33" Type="http://schemas.openxmlformats.org/officeDocument/2006/relationships/hyperlink" Target="https://goit.global/ph/courses/data-analytics/" TargetMode="External"/><Relationship Id="rId32" Type="http://schemas.openxmlformats.org/officeDocument/2006/relationships/hyperlink" Target="https://goit.global/ph/courses/qa/" TargetMode="External"/><Relationship Id="rId35" Type="http://schemas.openxmlformats.org/officeDocument/2006/relationships/hyperlink" Target="https://github.com/lexxai/goit_python_data_sciense_homework" TargetMode="External"/><Relationship Id="rId34" Type="http://schemas.openxmlformats.org/officeDocument/2006/relationships/hyperlink" Target="https://goit.global/ph/courses/data-analytics/" TargetMode="External"/><Relationship Id="rId37" Type="http://schemas.openxmlformats.org/officeDocument/2006/relationships/hyperlink" Target="https://uxdesign-direct-lp-ua.goit.global/" TargetMode="External"/><Relationship Id="rId36" Type="http://schemas.openxmlformats.org/officeDocument/2006/relationships/hyperlink" Target="https://github.com/lexxai/goit_python_data_sciense_homework" TargetMode="External"/><Relationship Id="rId39" Type="http://schemas.openxmlformats.org/officeDocument/2006/relationships/hyperlink" Target="https://www.edu.goit.global/uk" TargetMode="External"/><Relationship Id="rId38" Type="http://schemas.openxmlformats.org/officeDocument/2006/relationships/hyperlink" Target="https://uxdesign-direct-lp-ua.goit.global/" TargetMode="External"/><Relationship Id="rId20" Type="http://schemas.openxmlformats.org/officeDocument/2006/relationships/hyperlink" Target="https://x.university/colleges/goit-neoversity" TargetMode="External"/><Relationship Id="rId22" Type="http://schemas.openxmlformats.org/officeDocument/2006/relationships/hyperlink" Target="https://jobs.dou.ua/companies/goit/" TargetMode="External"/><Relationship Id="rId21" Type="http://schemas.openxmlformats.org/officeDocument/2006/relationships/hyperlink" Target="https://jobs.dou.ua/companies/goit/" TargetMode="External"/><Relationship Id="rId24" Type="http://schemas.openxmlformats.org/officeDocument/2006/relationships/hyperlink" Target="https://goit.global/ua/courses/fullstack/" TargetMode="External"/><Relationship Id="rId23" Type="http://schemas.openxmlformats.org/officeDocument/2006/relationships/hyperlink" Target="https://goit.global/ua/courses/fullstack/" TargetMode="External"/><Relationship Id="rId26" Type="http://schemas.openxmlformats.org/officeDocument/2006/relationships/hyperlink" Target="https://skillpublic.com/courses/goit-fullstack-rozrobnyk-z-nulja" TargetMode="External"/><Relationship Id="rId25" Type="http://schemas.openxmlformats.org/officeDocument/2006/relationships/hyperlink" Target="https://skillpublic.com/courses/goit-fullstack-rozrobnyk-z-nulja" TargetMode="External"/><Relationship Id="rId28" Type="http://schemas.openxmlformats.org/officeDocument/2006/relationships/hyperlink" Target="https://goit.global/ua/courses/bootcamp/" TargetMode="External"/><Relationship Id="rId27" Type="http://schemas.openxmlformats.org/officeDocument/2006/relationships/hyperlink" Target="https://goit.global/ua/courses/bootcamp/" TargetMode="External"/><Relationship Id="rId29" Type="http://schemas.openxmlformats.org/officeDocument/2006/relationships/hyperlink" Target="https://sale.goit.global/" TargetMode="External"/><Relationship Id="rId51" Type="http://schemas.openxmlformats.org/officeDocument/2006/relationships/hyperlink" Target="https://mc.today/uk/dlya-novachkiv-i-svitcheriv-najkrashhi-it-kursi-dlya-yakih-ne-potribna-profilna-osvita/" TargetMode="External"/><Relationship Id="rId50" Type="http://schemas.openxmlformats.org/officeDocument/2006/relationships/hyperlink" Target="https://it-kharkiv.com/de-shukaty-robotu-v-it-dosvid-vypusknykiv-goit/" TargetMode="External"/><Relationship Id="rId53" Type="http://schemas.openxmlformats.org/officeDocument/2006/relationships/hyperlink" Target="https://formula.education/2025/06/11/trendy-it-osvity-2025-shho-varto-vzyaty-na-ozbroyennya-vchytelyu-informatyky/" TargetMode="External"/><Relationship Id="rId52" Type="http://schemas.openxmlformats.org/officeDocument/2006/relationships/hyperlink" Target="https://mc.today/uk/dlya-novachkiv-i-svitcheriv-najkrashhi-it-kursi-dlya-yakih-ne-potribna-profilna-osvita/" TargetMode="External"/><Relationship Id="rId11" Type="http://schemas.openxmlformats.org/officeDocument/2006/relationships/hyperlink" Target="https://goit.global/ua/" TargetMode="External"/><Relationship Id="rId55" Type="http://schemas.openxmlformats.org/officeDocument/2006/relationships/header" Target="header1.xml"/><Relationship Id="rId10" Type="http://schemas.openxmlformats.org/officeDocument/2006/relationships/hyperlink" Target="https://forbes.ua/news/shkola-programuvannya-goit-viyshla-z-rinkiv-latinskoi-ameriki-26122024-25904" TargetMode="External"/><Relationship Id="rId54" Type="http://schemas.openxmlformats.org/officeDocument/2006/relationships/hyperlink" Target="https://formula.education/2025/06/11/trendy-it-osvity-2025-shho-varto-vzyaty-na-ozbroyennya-vchytelyu-informatyky/" TargetMode="External"/><Relationship Id="rId13" Type="http://schemas.openxmlformats.org/officeDocument/2006/relationships/hyperlink" Target="https://ukraineinvest.gov.ua/news/24-11-2023-2/" TargetMode="External"/><Relationship Id="rId12" Type="http://schemas.openxmlformats.org/officeDocument/2006/relationships/hyperlink" Target="https://goit.global/ua/" TargetMode="External"/><Relationship Id="rId56" Type="http://schemas.openxmlformats.org/officeDocument/2006/relationships/header" Target="header2.xml"/><Relationship Id="rId15" Type="http://schemas.openxmlformats.org/officeDocument/2006/relationships/hyperlink" Target="https://itukraine.org.ua/en/ai-bachelor-s-without-borders-neoversity-launches-higher-online-education-focused-on-development-and-artificial-intelligence/" TargetMode="External"/><Relationship Id="rId14" Type="http://schemas.openxmlformats.org/officeDocument/2006/relationships/hyperlink" Target="https://ukraineinvest.gov.ua/news/24-11-2023-2/" TargetMode="External"/><Relationship Id="rId17" Type="http://schemas.openxmlformats.org/officeDocument/2006/relationships/hyperlink" Target="https://marketplace.student.com/products/goit-neoversity-accredited-online-master-of-science-in-computer-science" TargetMode="External"/><Relationship Id="rId16" Type="http://schemas.openxmlformats.org/officeDocument/2006/relationships/hyperlink" Target="https://itukraine.org.ua/en/ai-bachelor-s-without-borders-neoversity-launches-higher-online-education-focused-on-development-and-artificial-intelligence/" TargetMode="External"/><Relationship Id="rId19" Type="http://schemas.openxmlformats.org/officeDocument/2006/relationships/hyperlink" Target="https://x.university/colleges/goit-neoversity" TargetMode="External"/><Relationship Id="rId18" Type="http://schemas.openxmlformats.org/officeDocument/2006/relationships/hyperlink" Target="https://marketplace.student.com/products/goit-neoversity-accredited-online-master-of-science-in-computer-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