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B8ECF" w14:textId="27721EC9" w:rsidR="00C16130" w:rsidRPr="002B6420" w:rsidRDefault="00C16130" w:rsidP="00C16130">
      <w:pPr>
        <w:pStyle w:val="a3"/>
        <w:spacing w:before="0" w:beforeAutospacing="0" w:after="0" w:afterAutospacing="0"/>
        <w:ind w:firstLine="567"/>
        <w:jc w:val="both"/>
        <w:rPr>
          <w:b/>
          <w:bCs/>
          <w:sz w:val="22"/>
          <w:szCs w:val="22"/>
        </w:rPr>
      </w:pPr>
      <w:r w:rsidRPr="002B6420">
        <w:rPr>
          <w:b/>
          <w:bCs/>
          <w:sz w:val="22"/>
          <w:szCs w:val="22"/>
        </w:rPr>
        <w:t xml:space="preserve">Задание. Изучение методологии </w:t>
      </w:r>
      <w:r w:rsidR="007E2AE7" w:rsidRPr="007E2AE7">
        <w:rPr>
          <w:b/>
          <w:bCs/>
          <w:sz w:val="22"/>
          <w:szCs w:val="22"/>
        </w:rPr>
        <w:t xml:space="preserve">моделирования бизнес-процессов </w:t>
      </w:r>
      <w:r w:rsidRPr="002B6420">
        <w:rPr>
          <w:b/>
          <w:bCs/>
          <w:sz w:val="22"/>
          <w:szCs w:val="22"/>
          <w:lang w:val="en-US"/>
        </w:rPr>
        <w:t>IDEF</w:t>
      </w:r>
      <w:r w:rsidRPr="002B6420">
        <w:rPr>
          <w:b/>
          <w:bCs/>
          <w:sz w:val="22"/>
          <w:szCs w:val="22"/>
        </w:rPr>
        <w:t xml:space="preserve">0 </w:t>
      </w:r>
    </w:p>
    <w:p w14:paraId="485A4235" w14:textId="6493C896" w:rsidR="00C16130" w:rsidRPr="002B6420" w:rsidRDefault="00C16130" w:rsidP="00C16130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</w:p>
    <w:p w14:paraId="14830AF2" w14:textId="71F556A6" w:rsidR="00C16130" w:rsidRPr="002B6420" w:rsidRDefault="00C16130" w:rsidP="00C16130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Необходимо изучить методологию </w:t>
      </w:r>
      <w:r w:rsidR="001A7D7F" w:rsidRPr="002B6420">
        <w:rPr>
          <w:sz w:val="22"/>
          <w:szCs w:val="22"/>
        </w:rPr>
        <w:t xml:space="preserve">моделирования </w:t>
      </w:r>
      <w:r w:rsidR="007E2AE7" w:rsidRPr="002B6420">
        <w:rPr>
          <w:sz w:val="22"/>
          <w:szCs w:val="22"/>
        </w:rPr>
        <w:t>бизнес-процессов</w:t>
      </w:r>
      <w:r w:rsidR="001A7D7F" w:rsidRPr="002B6420">
        <w:rPr>
          <w:sz w:val="22"/>
          <w:szCs w:val="22"/>
        </w:rPr>
        <w:t xml:space="preserve"> </w:t>
      </w:r>
      <w:r w:rsidRPr="002B6420">
        <w:rPr>
          <w:sz w:val="22"/>
          <w:szCs w:val="22"/>
          <w:lang w:val="en-US"/>
        </w:rPr>
        <w:t>IDEF</w:t>
      </w:r>
      <w:r w:rsidRPr="002B6420">
        <w:rPr>
          <w:sz w:val="22"/>
          <w:szCs w:val="22"/>
        </w:rPr>
        <w:t>0.</w:t>
      </w:r>
    </w:p>
    <w:p w14:paraId="39051646" w14:textId="4F81A137" w:rsidR="00C16130" w:rsidRPr="002B6420" w:rsidRDefault="00C16130" w:rsidP="00C1613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Конспекты лекций, учебники. Минимум материала для изучения представлен ниже</w:t>
      </w:r>
      <w:r w:rsidR="007E2AE7">
        <w:rPr>
          <w:sz w:val="22"/>
          <w:szCs w:val="22"/>
        </w:rPr>
        <w:t xml:space="preserve"> по тексту</w:t>
      </w:r>
      <w:r w:rsidRPr="002B6420">
        <w:rPr>
          <w:sz w:val="22"/>
          <w:szCs w:val="22"/>
        </w:rPr>
        <w:t>.</w:t>
      </w:r>
    </w:p>
    <w:p w14:paraId="4D29AF84" w14:textId="5A6B514C" w:rsidR="00C16130" w:rsidRPr="002B6420" w:rsidRDefault="00C16130" w:rsidP="00C16130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Отчёт по заданию. </w:t>
      </w:r>
      <w:r w:rsidR="007877D2" w:rsidRPr="002B6420">
        <w:rPr>
          <w:sz w:val="22"/>
          <w:szCs w:val="22"/>
        </w:rPr>
        <w:t xml:space="preserve">Отчёт демонстрирует понимание студентом методологии </w:t>
      </w:r>
      <w:r w:rsidR="007877D2" w:rsidRPr="002B6420">
        <w:rPr>
          <w:sz w:val="22"/>
          <w:szCs w:val="22"/>
          <w:lang w:val="en-US"/>
        </w:rPr>
        <w:t>IDEF</w:t>
      </w:r>
      <w:r w:rsidR="007877D2" w:rsidRPr="002B6420">
        <w:rPr>
          <w:sz w:val="22"/>
          <w:szCs w:val="22"/>
        </w:rPr>
        <w:t>0, его практико-ориентированность.</w:t>
      </w:r>
      <w:r w:rsidR="007E2AE7">
        <w:rPr>
          <w:sz w:val="22"/>
          <w:szCs w:val="22"/>
        </w:rPr>
        <w:t xml:space="preserve"> Избыточность материала не приветствуется.</w:t>
      </w:r>
    </w:p>
    <w:p w14:paraId="3C37147E" w14:textId="73120416" w:rsidR="00C16130" w:rsidRPr="002B6420" w:rsidRDefault="00C16130" w:rsidP="00C1613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Отчёт может быть представлен в </w:t>
      </w:r>
      <w:r w:rsidR="007877D2" w:rsidRPr="002B6420">
        <w:rPr>
          <w:sz w:val="22"/>
          <w:szCs w:val="22"/>
        </w:rPr>
        <w:t xml:space="preserve">одном из </w:t>
      </w:r>
      <w:r w:rsidRPr="002B6420">
        <w:rPr>
          <w:sz w:val="22"/>
          <w:szCs w:val="22"/>
        </w:rPr>
        <w:t>двух видах</w:t>
      </w:r>
      <w:r w:rsidR="007877D2" w:rsidRPr="002B6420">
        <w:rPr>
          <w:sz w:val="22"/>
          <w:szCs w:val="22"/>
        </w:rPr>
        <w:t xml:space="preserve"> на усмотрение студента</w:t>
      </w:r>
      <w:r w:rsidRPr="002B6420">
        <w:rPr>
          <w:sz w:val="22"/>
          <w:szCs w:val="22"/>
        </w:rPr>
        <w:t xml:space="preserve">: </w:t>
      </w:r>
    </w:p>
    <w:p w14:paraId="4AE53841" w14:textId="7DFF6AE0" w:rsidR="00C16130" w:rsidRPr="002B6420" w:rsidRDefault="00C16130" w:rsidP="00C16130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Реферат с теорией </w:t>
      </w:r>
      <w:r w:rsidRPr="002B6420">
        <w:rPr>
          <w:sz w:val="22"/>
          <w:szCs w:val="22"/>
          <w:lang w:val="en-US"/>
        </w:rPr>
        <w:t>IDEF</w:t>
      </w:r>
      <w:r w:rsidRPr="002B6420">
        <w:rPr>
          <w:sz w:val="22"/>
          <w:szCs w:val="22"/>
        </w:rPr>
        <w:t xml:space="preserve"> и рассмотрением, описанием и сопоставлением различных готовых примеров – не менее чем на 10 страниц.</w:t>
      </w:r>
    </w:p>
    <w:p w14:paraId="1DC82531" w14:textId="2833A6AD" w:rsidR="00C16130" w:rsidRPr="002B6420" w:rsidRDefault="00C16130" w:rsidP="00C16130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Пример </w:t>
      </w:r>
      <w:r w:rsidR="00073E9A">
        <w:rPr>
          <w:sz w:val="22"/>
          <w:szCs w:val="22"/>
        </w:rPr>
        <w:t xml:space="preserve">сквозного </w:t>
      </w:r>
      <w:r w:rsidRPr="002B6420">
        <w:rPr>
          <w:sz w:val="22"/>
          <w:szCs w:val="22"/>
        </w:rPr>
        <w:t>авторского решения</w:t>
      </w:r>
      <w:r w:rsidR="00073E9A">
        <w:rPr>
          <w:sz w:val="22"/>
          <w:szCs w:val="22"/>
        </w:rPr>
        <w:t xml:space="preserve"> моделирования </w:t>
      </w:r>
      <w:r w:rsidR="00073E9A" w:rsidRPr="002B6420">
        <w:rPr>
          <w:sz w:val="22"/>
          <w:szCs w:val="22"/>
        </w:rPr>
        <w:t>бизнес-процессов</w:t>
      </w:r>
      <w:r w:rsidR="007877D2" w:rsidRPr="002B6420">
        <w:rPr>
          <w:sz w:val="22"/>
          <w:szCs w:val="22"/>
        </w:rPr>
        <w:t xml:space="preserve">. Студент сам выбирает предметную область. Даёт краткое её описание (от одного абзаца до 1 стр.) и представляет спецификации (нотации </w:t>
      </w:r>
      <w:r w:rsidR="007877D2" w:rsidRPr="002B6420">
        <w:rPr>
          <w:sz w:val="22"/>
          <w:szCs w:val="22"/>
          <w:lang w:val="en-US"/>
        </w:rPr>
        <w:t>IDEF</w:t>
      </w:r>
      <w:r w:rsidR="007877D2" w:rsidRPr="002B6420">
        <w:rPr>
          <w:sz w:val="22"/>
          <w:szCs w:val="22"/>
        </w:rPr>
        <w:t>0). Для демонстрации практического умения достаточно 5 нотаций (рисунков).</w:t>
      </w:r>
      <w:r w:rsidR="002B6420" w:rsidRPr="002B6420">
        <w:rPr>
          <w:sz w:val="22"/>
          <w:szCs w:val="22"/>
        </w:rPr>
        <w:t xml:space="preserve"> Пример представлен ниже по тексту.</w:t>
      </w:r>
    </w:p>
    <w:p w14:paraId="5390FB55" w14:textId="62945E83" w:rsidR="00D869E0" w:rsidRPr="002B6420" w:rsidRDefault="00D869E0" w:rsidP="00D869E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Оформление идёт с титульным листом и вывешивается в </w:t>
      </w:r>
      <w:r w:rsidRPr="002B6420">
        <w:rPr>
          <w:sz w:val="22"/>
          <w:szCs w:val="22"/>
          <w:lang w:val="en-US"/>
        </w:rPr>
        <w:t>LMS</w:t>
      </w:r>
    </w:p>
    <w:p w14:paraId="35D1FBB3" w14:textId="484BB2D1" w:rsidR="0000708D" w:rsidRDefault="0000708D" w:rsidP="00D869E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>
        <w:rPr>
          <w:sz w:val="22"/>
          <w:szCs w:val="22"/>
        </w:rPr>
        <w:t>Инструментарий выполнения любой (на усмотрение студента</w:t>
      </w:r>
      <w:r w:rsidR="002A6915">
        <w:rPr>
          <w:sz w:val="22"/>
          <w:szCs w:val="22"/>
        </w:rPr>
        <w:t xml:space="preserve">, можно рисовать даже в </w:t>
      </w:r>
      <w:r w:rsidR="002A6915">
        <w:rPr>
          <w:sz w:val="22"/>
          <w:szCs w:val="22"/>
          <w:lang w:val="en-US"/>
        </w:rPr>
        <w:t>Word</w:t>
      </w:r>
      <w:r>
        <w:rPr>
          <w:sz w:val="22"/>
          <w:szCs w:val="22"/>
        </w:rPr>
        <w:t xml:space="preserve">). </w:t>
      </w:r>
    </w:p>
    <w:p w14:paraId="70FAB5E2" w14:textId="7C6124E9" w:rsidR="00D869E0" w:rsidRDefault="0000708D" w:rsidP="0000708D">
      <w:pPr>
        <w:pStyle w:val="a3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Рекомендуется </w:t>
      </w:r>
    </w:p>
    <w:p w14:paraId="30270081" w14:textId="28A2231D" w:rsidR="0000708D" w:rsidRPr="00F97A83" w:rsidRDefault="0000708D" w:rsidP="0000708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gramStart"/>
      <w:r w:rsidRPr="003B7A9F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Draw</w:t>
      </w:r>
      <w:r w:rsidRPr="003B7A9F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  <w:r w:rsidRPr="003B7A9F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io</w:t>
      </w:r>
      <w:r w:rsidR="00E7213A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3B7A9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</w:t>
      </w:r>
      <w:proofErr w:type="gramEnd"/>
      <w:r w:rsidRPr="003B7A9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hyperlink r:id="rId5" w:history="1">
        <w:r w:rsidRPr="003B7A9F">
          <w:rPr>
            <w:rStyle w:val="a6"/>
            <w:lang w:val="en-US"/>
          </w:rPr>
          <w:t>https</w:t>
        </w:r>
        <w:r w:rsidRPr="003B7A9F">
          <w:rPr>
            <w:rStyle w:val="a6"/>
          </w:rPr>
          <w:t>://</w:t>
        </w:r>
        <w:r w:rsidRPr="003B7A9F">
          <w:rPr>
            <w:rStyle w:val="a6"/>
            <w:lang w:val="en-US"/>
          </w:rPr>
          <w:t>app</w:t>
        </w:r>
        <w:r w:rsidRPr="003B7A9F">
          <w:rPr>
            <w:rStyle w:val="a6"/>
          </w:rPr>
          <w:t>.</w:t>
        </w:r>
        <w:r w:rsidRPr="003B7A9F">
          <w:rPr>
            <w:rStyle w:val="a6"/>
            <w:lang w:val="en-US"/>
          </w:rPr>
          <w:t>diagrams</w:t>
        </w:r>
        <w:r w:rsidRPr="003B7A9F">
          <w:rPr>
            <w:rStyle w:val="a6"/>
          </w:rPr>
          <w:t>.</w:t>
        </w:r>
        <w:r w:rsidRPr="003B7A9F">
          <w:rPr>
            <w:rStyle w:val="a6"/>
            <w:lang w:val="en-US"/>
          </w:rPr>
          <w:t>net</w:t>
        </w:r>
        <w:r w:rsidRPr="003B7A9F">
          <w:rPr>
            <w:rStyle w:val="a6"/>
          </w:rPr>
          <w:t>/</w:t>
        </w:r>
      </w:hyperlink>
      <w:r w:rsidRPr="003B7A9F">
        <w:t xml:space="preserve"> </w:t>
      </w:r>
      <w:r w:rsidRPr="003B7A9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— это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доступный </w:t>
      </w: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сервис, предназначенный для формирования диаграмм и</w:t>
      </w:r>
      <w:r w:rsidR="00E7213A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схем. Сервис разделён на</w:t>
      </w:r>
      <w:r w:rsidR="00E7213A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три части</w:t>
      </w:r>
      <w:r w:rsidR="00E7213A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— меню, панель объектов и</w:t>
      </w:r>
      <w:r w:rsidR="00E7213A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сам документ. </w:t>
      </w:r>
    </w:p>
    <w:p w14:paraId="634B2A94" w14:textId="331C39E1" w:rsidR="0000708D" w:rsidRPr="00F97A83" w:rsidRDefault="0000708D" w:rsidP="00007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С</w:t>
      </w:r>
      <w:r w:rsidR="00E7213A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помощью веб-сервиса Draw.io можно создавать:</w:t>
      </w:r>
    </w:p>
    <w:p w14:paraId="55AD682D" w14:textId="77777777" w:rsidR="0000708D" w:rsidRPr="00F97A83" w:rsidRDefault="0000708D" w:rsidP="0000708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Диаграммы.</w:t>
      </w:r>
    </w:p>
    <w:p w14:paraId="78825C36" w14:textId="77777777" w:rsidR="0000708D" w:rsidRPr="00F97A83" w:rsidRDefault="0000708D" w:rsidP="0000708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UML-модели.</w:t>
      </w:r>
    </w:p>
    <w:p w14:paraId="3C1889F7" w14:textId="77777777" w:rsidR="0000708D" w:rsidRPr="00F97A83" w:rsidRDefault="0000708D" w:rsidP="0000708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Вставка в диаграмму изображений.</w:t>
      </w:r>
    </w:p>
    <w:p w14:paraId="1471966F" w14:textId="77777777" w:rsidR="0000708D" w:rsidRPr="00F97A83" w:rsidRDefault="0000708D" w:rsidP="0000708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Графики.</w:t>
      </w:r>
    </w:p>
    <w:p w14:paraId="64A4E1A9" w14:textId="77777777" w:rsidR="0000708D" w:rsidRPr="00F97A83" w:rsidRDefault="0000708D" w:rsidP="0000708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Блок-схемы.</w:t>
      </w:r>
    </w:p>
    <w:p w14:paraId="2471F939" w14:textId="77777777" w:rsidR="0000708D" w:rsidRPr="00F97A83" w:rsidRDefault="0000708D" w:rsidP="0000708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 w:themeColor="text1"/>
          <w:lang w:eastAsia="ru-RU"/>
        </w:rPr>
        <w:t>Формы.</w:t>
      </w:r>
    </w:p>
    <w:p w14:paraId="1EA0B03F" w14:textId="77777777" w:rsidR="0000708D" w:rsidRPr="002B6420" w:rsidRDefault="0000708D" w:rsidP="00D869E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</w:p>
    <w:p w14:paraId="1F42C393" w14:textId="77777777" w:rsidR="00D869E0" w:rsidRPr="002B6420" w:rsidRDefault="00D869E0" w:rsidP="00D869E0">
      <w:pPr>
        <w:pStyle w:val="a3"/>
        <w:spacing w:before="0" w:beforeAutospacing="0" w:after="0" w:afterAutospacing="0"/>
        <w:ind w:firstLine="567"/>
        <w:jc w:val="both"/>
        <w:rPr>
          <w:b/>
          <w:bCs/>
          <w:sz w:val="22"/>
          <w:szCs w:val="22"/>
        </w:rPr>
      </w:pPr>
      <w:r w:rsidRPr="002B6420">
        <w:rPr>
          <w:b/>
          <w:bCs/>
          <w:sz w:val="22"/>
          <w:szCs w:val="22"/>
        </w:rPr>
        <w:t>Материал к выполнению задания</w:t>
      </w:r>
    </w:p>
    <w:p w14:paraId="721A8747" w14:textId="77777777" w:rsidR="00D869E0" w:rsidRPr="002B6420" w:rsidRDefault="00D869E0" w:rsidP="00D869E0">
      <w:pPr>
        <w:pStyle w:val="a3"/>
        <w:spacing w:before="0" w:beforeAutospacing="0" w:after="0" w:afterAutospacing="0"/>
        <w:ind w:firstLine="567"/>
        <w:jc w:val="both"/>
        <w:rPr>
          <w:b/>
          <w:bCs/>
          <w:sz w:val="22"/>
          <w:szCs w:val="22"/>
        </w:rPr>
      </w:pPr>
    </w:p>
    <w:p w14:paraId="57D1C3B5" w14:textId="3C3554CC" w:rsidR="00410E31" w:rsidRPr="002B6420" w:rsidRDefault="00D869E0" w:rsidP="002B6420">
      <w:pPr>
        <w:pStyle w:val="a3"/>
        <w:spacing w:before="0" w:beforeAutospacing="0" w:after="0" w:afterAutospacing="0"/>
        <w:ind w:firstLine="567"/>
        <w:rPr>
          <w:b/>
          <w:bCs/>
          <w:sz w:val="22"/>
          <w:szCs w:val="22"/>
        </w:rPr>
      </w:pPr>
      <w:r w:rsidRPr="002B6420">
        <w:rPr>
          <w:b/>
          <w:bCs/>
          <w:sz w:val="22"/>
          <w:szCs w:val="22"/>
        </w:rPr>
        <w:t xml:space="preserve">1. </w:t>
      </w:r>
      <w:r w:rsidR="00410E31" w:rsidRPr="002B6420">
        <w:rPr>
          <w:b/>
          <w:bCs/>
          <w:sz w:val="22"/>
          <w:szCs w:val="22"/>
        </w:rPr>
        <w:t>Методология IDEF0</w:t>
      </w:r>
    </w:p>
    <w:p w14:paraId="56211611" w14:textId="77777777" w:rsidR="002B6420" w:rsidRPr="002B6420" w:rsidRDefault="002B6420" w:rsidP="002B6420">
      <w:pPr>
        <w:pStyle w:val="a3"/>
        <w:spacing w:before="0" w:beforeAutospacing="0" w:after="0" w:afterAutospacing="0"/>
        <w:ind w:firstLine="567"/>
        <w:rPr>
          <w:sz w:val="22"/>
          <w:szCs w:val="22"/>
        </w:rPr>
      </w:pPr>
      <w:r w:rsidRPr="002B6420">
        <w:rPr>
          <w:sz w:val="22"/>
          <w:szCs w:val="22"/>
        </w:rPr>
        <w:t>(http://prodcp.ru/referaty_po_informatike/kursovaya_rabota_modelirovanie.htm)</w:t>
      </w:r>
    </w:p>
    <w:p w14:paraId="47E690B2" w14:textId="77777777" w:rsidR="00D869E0" w:rsidRPr="002B6420" w:rsidRDefault="00D869E0" w:rsidP="00D869E0">
      <w:pPr>
        <w:pStyle w:val="a3"/>
        <w:spacing w:before="0" w:beforeAutospacing="0" w:after="0" w:afterAutospacing="0"/>
        <w:ind w:firstLine="567"/>
        <w:jc w:val="both"/>
        <w:rPr>
          <w:b/>
          <w:bCs/>
          <w:sz w:val="22"/>
          <w:szCs w:val="22"/>
        </w:rPr>
      </w:pPr>
    </w:p>
    <w:p w14:paraId="254DE62D" w14:textId="2D1441B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Графический язык</w:t>
      </w:r>
      <w:r w:rsidR="002B6420">
        <w:rPr>
          <w:sz w:val="22"/>
          <w:szCs w:val="22"/>
        </w:rPr>
        <w:t xml:space="preserve"> (методология)</w:t>
      </w:r>
      <w:r w:rsidRPr="002B6420">
        <w:rPr>
          <w:sz w:val="22"/>
          <w:szCs w:val="22"/>
        </w:rPr>
        <w:t xml:space="preserve"> IDEF0. В основе методологии лежат четыре основных понятия:</w:t>
      </w:r>
    </w:p>
    <w:p w14:paraId="388403A5" w14:textId="53F6DAAC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Первым из них является понятие </w:t>
      </w:r>
      <w:r w:rsidRPr="002B6420">
        <w:rPr>
          <w:rStyle w:val="a4"/>
          <w:sz w:val="22"/>
          <w:szCs w:val="22"/>
        </w:rPr>
        <w:t>функционального блока</w:t>
      </w:r>
      <w:r w:rsidRPr="002B6420">
        <w:rPr>
          <w:sz w:val="22"/>
          <w:szCs w:val="22"/>
        </w:rPr>
        <w:t>. Функциональный блок графически изображается в виде прямоугольника (см. рис. 1) и олицетворяет собой некоторую конкретную функцию в рамках рассматриваемой системы. По требованиям стандарта название каждого функционального блока должно быть сформулировано в глагольном наклонении (например, «производить услуги», а не «производство услуг»).</w:t>
      </w:r>
    </w:p>
    <w:p w14:paraId="3B8CACBB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Каждая из четырех сторон функционального блока имеет своё определенное значение (роль), при этом:</w:t>
      </w:r>
    </w:p>
    <w:p w14:paraId="1ECB48F8" w14:textId="1FD3BE34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Верхняя сторона имеет значение «Управление» (Control);</w:t>
      </w:r>
    </w:p>
    <w:p w14:paraId="77BB0D0F" w14:textId="19349680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Левая сторона имеет значение «Вход» (</w:t>
      </w:r>
      <w:proofErr w:type="spellStart"/>
      <w:r w:rsidRPr="002B6420">
        <w:rPr>
          <w:sz w:val="22"/>
          <w:szCs w:val="22"/>
        </w:rPr>
        <w:t>Input</w:t>
      </w:r>
      <w:proofErr w:type="spellEnd"/>
      <w:r w:rsidRPr="002B6420">
        <w:rPr>
          <w:sz w:val="22"/>
          <w:szCs w:val="22"/>
        </w:rPr>
        <w:t>);</w:t>
      </w:r>
    </w:p>
    <w:p w14:paraId="5DF0F6C7" w14:textId="117E7C8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Правая сторона имеет значение «Выход» (</w:t>
      </w:r>
      <w:proofErr w:type="spellStart"/>
      <w:r w:rsidRPr="002B6420">
        <w:rPr>
          <w:sz w:val="22"/>
          <w:szCs w:val="22"/>
        </w:rPr>
        <w:t>Output</w:t>
      </w:r>
      <w:proofErr w:type="spellEnd"/>
      <w:r w:rsidRPr="002B6420">
        <w:rPr>
          <w:sz w:val="22"/>
          <w:szCs w:val="22"/>
        </w:rPr>
        <w:t>);</w:t>
      </w:r>
    </w:p>
    <w:p w14:paraId="003813BA" w14:textId="3C7BFA38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Нижняя сторона имеет значение «Механизм» (</w:t>
      </w:r>
      <w:proofErr w:type="spellStart"/>
      <w:r w:rsidRPr="002B6420">
        <w:rPr>
          <w:sz w:val="22"/>
          <w:szCs w:val="22"/>
        </w:rPr>
        <w:t>Mechanism</w:t>
      </w:r>
      <w:proofErr w:type="spellEnd"/>
      <w:r w:rsidRPr="002B6420">
        <w:rPr>
          <w:sz w:val="22"/>
          <w:szCs w:val="22"/>
        </w:rPr>
        <w:t>).</w:t>
      </w:r>
    </w:p>
    <w:p w14:paraId="02597B79" w14:textId="16D1F59F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Каждый функциональный блок в рамках единой рассматриваемой системы должен иметь свой уникальный идентификационный номер.</w:t>
      </w:r>
    </w:p>
    <w:bookmarkStart w:id="0" w:name="_MON_1679043185"/>
    <w:bookmarkEnd w:id="0"/>
    <w:p w14:paraId="0FC89C79" w14:textId="13079BAD" w:rsidR="008A5FC0" w:rsidRPr="002B6420" w:rsidRDefault="00C16130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object w:dxaOrig="8222" w:dyaOrig="4386" w14:anchorId="73FFD8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pt;height:219.6pt" o:ole="">
            <v:imagedata r:id="rId6" o:title=""/>
          </v:shape>
          <o:OLEObject Type="Embed" ProgID="Word.Document.12" ShapeID="_x0000_i1025" DrawAspect="Content" ObjectID="_1698478017" r:id="rId7">
            <o:FieldCodes>\s</o:FieldCodes>
          </o:OLEObject>
        </w:object>
      </w:r>
    </w:p>
    <w:p w14:paraId="31FB65D8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Рис. 1. Функциональный блок</w:t>
      </w:r>
    </w:p>
    <w:p w14:paraId="7F12DE1E" w14:textId="77777777" w:rsidR="00C16130" w:rsidRPr="002B6420" w:rsidRDefault="00C16130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</w:p>
    <w:p w14:paraId="147ED408" w14:textId="59E69C9B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Вторым </w:t>
      </w:r>
      <w:r w:rsidR="003240AC" w:rsidRPr="002B6420">
        <w:rPr>
          <w:sz w:val="22"/>
          <w:szCs w:val="22"/>
        </w:rPr>
        <w:t>базисом</w:t>
      </w:r>
      <w:r w:rsidRPr="002B6420">
        <w:rPr>
          <w:sz w:val="22"/>
          <w:szCs w:val="22"/>
        </w:rPr>
        <w:t xml:space="preserve"> методологии IDEF0 является понятие </w:t>
      </w:r>
      <w:r w:rsidRPr="002B6420">
        <w:rPr>
          <w:rStyle w:val="a4"/>
          <w:sz w:val="22"/>
          <w:szCs w:val="22"/>
        </w:rPr>
        <w:t>интерфейсной дуги</w:t>
      </w:r>
      <w:r w:rsidRPr="002B6420">
        <w:rPr>
          <w:sz w:val="22"/>
          <w:szCs w:val="22"/>
        </w:rPr>
        <w:t>. Также интерфейсные дуги часто называют потоками или стрелками. Интерфейсная дуга отображает элемент системы, который обрабатывается функциональным блоком или оказывает иное влияние на функцию, отображенную данным функциональным блоком.</w:t>
      </w:r>
    </w:p>
    <w:p w14:paraId="6098F219" w14:textId="7B0A4E90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Графическим отображением интерфейсной дуги является однонаправленная стрелка. Каждая интерфейсная дуга должна иметь свое уникальное наименование. По требованию стандарта, наименование должно быть оборотом существительного.</w:t>
      </w:r>
    </w:p>
    <w:p w14:paraId="668C95F3" w14:textId="01753A5B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С помощью интерфейсных дуг отображают различные объекты, в той или иной степени определяющие процессы, происходящие в системе. Такими объектами могут быть элементы реального мира (детали, вагоны, сотрудники и т. </w:t>
      </w:r>
      <w:r w:rsidR="00FA62C7" w:rsidRPr="002B6420">
        <w:rPr>
          <w:sz w:val="22"/>
          <w:szCs w:val="22"/>
        </w:rPr>
        <w:t>д</w:t>
      </w:r>
      <w:r w:rsidRPr="002B6420">
        <w:rPr>
          <w:sz w:val="22"/>
          <w:szCs w:val="22"/>
        </w:rPr>
        <w:t>.) или потоки данных и информации (документы, данные, инструкции и т.д.).</w:t>
      </w:r>
    </w:p>
    <w:p w14:paraId="3A61888F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В зависимости от того, к какой из сторон подходит данная интерфейсная дуга, она носит название «входящей», «исходящей» или «управляющей». Кроме того, «источником» (началом) и «приемником» (концом) каждой функциональной дуги могут быть только функциональные блоки, при этом «источником» может быть только выходная сторона блока, а «приемником» любая из трех оставшихся.</w:t>
      </w:r>
    </w:p>
    <w:p w14:paraId="4AC0A466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Необходимо отметить, что любой функциональный блок по требованиям стандарта должен иметь, по крайней мере, одну управляющую интерфейсную дугу и одну исходящую. Это и понятно – каждый процесс должен происходить по каким-то правилам (отображаемым управляющей дугой) и должен выдавать некоторый результат (выходящая дуга), иначе его рассмотрение не имеет никакого смысла.</w:t>
      </w:r>
    </w:p>
    <w:p w14:paraId="5B6FBDB6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Внешне природа входящих и управляющих интерфейсных дуг схожа, однако для систем одного класса всегда есть определенные разграничения. Например, в случае рассмотрения предприятий и организаций существуют пять основных видов объектов: материальные потоки (детали, товары, сырье и т.д.), финансовые потоки (наличные и безналичные, инвестиции и т.д.), потоки документов (коммерческие, финансовые и организационные документы), потоки информации (информация, данные о намерениях, устные распоряжения и т.д.) и ресурсы (сотрудники, станки, машины и т.д.). При этом в различных случаях входящими и исходящими интерфейсными дугами могут отображаться все виды объектов, управляющими только относящиеся к потокам документов и информации, а дугами-механизмами только ресурсы.</w:t>
      </w:r>
    </w:p>
    <w:p w14:paraId="3B74DBBA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Третьим основным понятием стандарта IDEF0 является </w:t>
      </w:r>
      <w:r w:rsidRPr="002B6420">
        <w:rPr>
          <w:rStyle w:val="a4"/>
          <w:sz w:val="22"/>
          <w:szCs w:val="22"/>
        </w:rPr>
        <w:t>декомпозиция (Decomposition)</w:t>
      </w:r>
      <w:r w:rsidRPr="002B6420">
        <w:rPr>
          <w:sz w:val="22"/>
          <w:szCs w:val="22"/>
        </w:rPr>
        <w:t>. Принцип декомпозиции применяется при разбиении сложного процесса на составляющие его функции. При этом уровень детализации процесса определяется непосредственно разработчиком модели.</w:t>
      </w:r>
    </w:p>
    <w:p w14:paraId="0D1E3887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Декомпозиция позволяет постепенно и структурировано представлять модель системы в виде иерархической структуры отдельных диаграмм, что делает ее менее перегруженной и легко усваиваемой.</w:t>
      </w:r>
    </w:p>
    <w:p w14:paraId="5B6B513B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Модель IDEF0 всегда начинается с представления системы как единого целого – одного функционального блока с интерфейсными дугами, простирающимися за пределы рассматриваемой области. Такая диаграмма с одним функциональным блоком называется контекстной диаграммой, и обозначается идентификатором «А</w:t>
      </w:r>
      <w:r w:rsidRPr="002B6420">
        <w:rPr>
          <w:sz w:val="22"/>
          <w:szCs w:val="22"/>
        </w:rPr>
        <w:noBreakHyphen/>
        <w:t>0».</w:t>
      </w:r>
    </w:p>
    <w:p w14:paraId="3F183B7F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В пояснительном тексте к контекстной диаграмме должна быть указана цель (Purpose) построения диаграммы в виде краткого описания и зафиксирована </w:t>
      </w:r>
      <w:r w:rsidRPr="002B6420">
        <w:rPr>
          <w:rStyle w:val="a4"/>
          <w:sz w:val="22"/>
          <w:szCs w:val="22"/>
        </w:rPr>
        <w:t>точка зрения</w:t>
      </w:r>
      <w:r w:rsidRPr="002B6420">
        <w:rPr>
          <w:sz w:val="22"/>
          <w:szCs w:val="22"/>
        </w:rPr>
        <w:t xml:space="preserve"> (Viewpoint).</w:t>
      </w:r>
    </w:p>
    <w:p w14:paraId="1FAF42AB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Определение и формализация цели разработки IDEF0 – модели является крайне важным моментом. Фактически цель определяет соответствующие области в исследуемой системе, на которых необходимо </w:t>
      </w:r>
      <w:r w:rsidRPr="002B6420">
        <w:rPr>
          <w:sz w:val="22"/>
          <w:szCs w:val="22"/>
        </w:rPr>
        <w:lastRenderedPageBreak/>
        <w:t>фокусироваться в первую очередь. Например, если моделируется деятельность предприятия с целью построения в дальнейшем на базе этой модели информационной системы, то эта модель будет существенно отличаться от той, которая бы разрабатывалась для того же самого предприятия, но уже с целью оптимизации логистических цепочек.</w:t>
      </w:r>
    </w:p>
    <w:p w14:paraId="219D5132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>Точка зрения определяет основное направление развития модели и уровень необходимой детализации. Четкое фиксирование точки зрения позволяет разгрузить модель, отказавшись от детализации и исследования отдельных элементов, не являющихся необходимыми, исходя из выбранной точки зрения на систему. Например, функциональные модели одного и того же предприятия с точек зрения главного технолога и финансового директора будут существенно различаться по направленности их детализации. Это связано с тем, что в конечном итоге, финансового директора не интересуют аспекты обработки сырья на производственных станках, а главному технологу ни к чему прорисованные схемы финансовых потоков. Правильный выбор точки зрения существенно сокращает временные затраты на построение конечной модели.</w:t>
      </w:r>
    </w:p>
    <w:p w14:paraId="2B40B20C" w14:textId="0DBCDB42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В процессе декомпозиции, функциональный блок, который в контекстной диаграмме отображает систему как единое целое, подвергается детализации на другой диаграмме. Получившаяся диаграмма второго уровня содержит функциональные блоки, отображающие главные подфункции функционального блока контекстной диаграммы и называется дочерней (Child diagram) по отношению к нему (каждый из функциональных блоков, принадлежащих </w:t>
      </w:r>
      <w:proofErr w:type="gramStart"/>
      <w:r w:rsidRPr="002B6420">
        <w:rPr>
          <w:sz w:val="22"/>
          <w:szCs w:val="22"/>
        </w:rPr>
        <w:t>дочерней диаграмме</w:t>
      </w:r>
      <w:proofErr w:type="gramEnd"/>
      <w:r w:rsidRPr="002B6420">
        <w:rPr>
          <w:sz w:val="22"/>
          <w:szCs w:val="22"/>
        </w:rPr>
        <w:t xml:space="preserve"> соответственно называется дочерним блоком</w:t>
      </w:r>
      <w:r w:rsidR="007E2AE7">
        <w:rPr>
          <w:sz w:val="22"/>
          <w:szCs w:val="22"/>
        </w:rPr>
        <w:t> </w:t>
      </w:r>
      <w:r w:rsidRPr="002B6420">
        <w:rPr>
          <w:sz w:val="22"/>
          <w:szCs w:val="22"/>
        </w:rPr>
        <w:t>– Child Box). В свою очередь, функциональный блок – предок называется родительским блоком по отношению к дочерней диаграмме (Parent Box), а диаграмма, к которой он принадлежит – родительской диаграммой (Parent Diagram). Каждая из подфункций дочерней диаграммы может быть далее детализирована путем аналогичной декомпозиции соответствующего ей функционального блока. Важно отметить, что в каждом случае декомпозиции функционального блока все интерфейсные дуги, входящие в данный блок, или исходящие из него фиксируются на дочерней диаграмме. Этим достигается структурная целостность IDEF</w:t>
      </w:r>
      <w:proofErr w:type="gramStart"/>
      <w:r w:rsidRPr="002B6420">
        <w:rPr>
          <w:sz w:val="22"/>
          <w:szCs w:val="22"/>
        </w:rPr>
        <w:t>0</w:t>
      </w:r>
      <w:r w:rsidR="002B6420">
        <w:rPr>
          <w:sz w:val="22"/>
          <w:szCs w:val="22"/>
        </w:rPr>
        <w:t> </w:t>
      </w:r>
      <w:r w:rsidRPr="002B6420">
        <w:rPr>
          <w:sz w:val="22"/>
          <w:szCs w:val="22"/>
        </w:rPr>
        <w:t xml:space="preserve"> –</w:t>
      </w:r>
      <w:proofErr w:type="gramEnd"/>
      <w:r w:rsidRPr="002B6420">
        <w:rPr>
          <w:sz w:val="22"/>
          <w:szCs w:val="22"/>
        </w:rPr>
        <w:t xml:space="preserve"> модели. Наглядно принцип декомпозиции представлен на рисунке 2. Следует обратить внимание на взаимосвязь нумерации функциональных блоков и диаграмм – каждый блок имеет свой уникальный порядковый номер на диаграмме (цифра в правом нижнем углу прямоугольника), а обозначение под правым углом указывает на номер дочерней для этого блока диаграммы. Отсутствие этого обозначения говорит о том, что декомпозиции для данного блока не существует.</w:t>
      </w:r>
    </w:p>
    <w:p w14:paraId="6BFB49C1" w14:textId="77777777" w:rsidR="00410E31" w:rsidRPr="002B6420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Часто бывают случаи, когда отдельные интерфейсные дуги не имеет смысла продолжать рассматривать в дочерних диаграммах ниже какого-то определенного уровня в иерархии, или наоборот – отдельные дуги не имеют практического смысла выше какого-то уровня. С другой стороны, случается необходимость избавиться от отдельных «концептуальных» интерфейсных дуг и не детализировать их глубже некоторого уровня. Для решения подобных задач в стандарте IDEF0 предусмотрено понятие </w:t>
      </w:r>
      <w:r w:rsidRPr="002B6420">
        <w:rPr>
          <w:rStyle w:val="a4"/>
          <w:sz w:val="22"/>
          <w:szCs w:val="22"/>
        </w:rPr>
        <w:t>туннелирования</w:t>
      </w:r>
      <w:r w:rsidRPr="002B6420">
        <w:rPr>
          <w:sz w:val="22"/>
          <w:szCs w:val="22"/>
        </w:rPr>
        <w:t>. Обозначение «туннеля» (Arrow Tunnel) в виде двух круглых скобок вокруг начала интерфейсной дуги обозначает, что эта дуга не была унаследована от функционального родительского блока и появилась (из «туннеля») только на этой диаграмме. В свою очередь, такое же обозначение вокруг конца (стрелки) интерфейсной дуги в непосредственной близи от блока – приёмника означает тот факт, что в дочерней по отношению к этому блоку диаграмме эта дуга отображаться и рассматриваться не будет. Чаще всего бывает, что отдельные объекты и соответствующие им интерфейсные дуги не рассматриваются на некоторых промежуточных уровнях иерархии – в таком случае, они сначала «погружаются в туннель», а затем, при необходимости «возвращаются из туннеля».</w:t>
      </w:r>
    </w:p>
    <w:p w14:paraId="22495153" w14:textId="4E0566D1" w:rsidR="00410E31" w:rsidRDefault="00410E31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2B6420">
        <w:rPr>
          <w:sz w:val="22"/>
          <w:szCs w:val="22"/>
        </w:rPr>
        <w:t xml:space="preserve">Последним из понятий IDEF0 является </w:t>
      </w:r>
      <w:r w:rsidRPr="002B6420">
        <w:rPr>
          <w:rStyle w:val="a4"/>
          <w:sz w:val="22"/>
          <w:szCs w:val="22"/>
        </w:rPr>
        <w:t>глоссарий (Glossary)</w:t>
      </w:r>
      <w:r w:rsidRPr="002B6420">
        <w:rPr>
          <w:sz w:val="22"/>
          <w:szCs w:val="22"/>
        </w:rPr>
        <w:t>. Для каждого из элементов IDEF0: диаграмм, функциональных блоков, интерфейсных дуг существующий стандарт подразумевает создание и поддержание набора соответствующих определений, ключевых слов, повествовательных изложений и т.д., которые характеризуют объект, отображенный данным элементом. Этот набор называется глоссарием и является описанием сущности данного элемента. Например, для управляющей интерфейсной дуги «распоряжение об оплате» глоссарий может содержать перечень полей соответствующего дуге документа, необходимый набор виз и т.д. Глоссарий гармонично дополняет наглядный графический язык, снабжая диаграммы необходимой дополнительной информацией.</w:t>
      </w:r>
    </w:p>
    <w:p w14:paraId="5F0F1DCC" w14:textId="77777777" w:rsidR="007E2AE7" w:rsidRPr="002B6420" w:rsidRDefault="007E2AE7" w:rsidP="007E2AE7">
      <w:pPr>
        <w:pStyle w:val="a3"/>
        <w:spacing w:before="0" w:beforeAutospacing="0" w:after="0" w:afterAutospacing="0"/>
        <w:ind w:firstLine="567"/>
        <w:rPr>
          <w:sz w:val="22"/>
          <w:szCs w:val="22"/>
        </w:rPr>
      </w:pPr>
      <w:r w:rsidRPr="002B6420">
        <w:rPr>
          <w:sz w:val="22"/>
          <w:szCs w:val="22"/>
        </w:rPr>
        <w:t>Обычно IDEF0</w:t>
      </w:r>
      <w:r w:rsidRPr="002B6420">
        <w:rPr>
          <w:sz w:val="22"/>
          <w:szCs w:val="22"/>
        </w:rPr>
        <w:noBreakHyphen/>
        <w:t>модели несут в себе сложную и концентрированную информацию, и для того, чтобы ограничить их перегруженность и сделать удобочитаемыми, в соответствующем стандарте приняты соответствующие ограничения сложности:</w:t>
      </w:r>
    </w:p>
    <w:p w14:paraId="61F715FD" w14:textId="77777777" w:rsidR="007E2AE7" w:rsidRPr="002B6420" w:rsidRDefault="007E2AE7" w:rsidP="0035402D">
      <w:pPr>
        <w:pStyle w:val="a3"/>
        <w:numPr>
          <w:ilvl w:val="0"/>
          <w:numId w:val="7"/>
        </w:numPr>
        <w:spacing w:before="0" w:beforeAutospacing="0" w:after="0" w:afterAutospacing="0"/>
        <w:ind w:left="0" w:firstLine="567"/>
        <w:rPr>
          <w:sz w:val="22"/>
          <w:szCs w:val="22"/>
        </w:rPr>
      </w:pPr>
      <w:r w:rsidRPr="002B6420">
        <w:rPr>
          <w:sz w:val="22"/>
          <w:szCs w:val="22"/>
        </w:rPr>
        <w:t>ограничение количества функциональных блоков на диаграмме тремя-шестью. Верхний предел (шесть) заставляет разработчика использовать иерархии при описании сложных предметов, а нижний предел (три) гарантирует, что на соответствующей диаграмме достаточно деталей, чтобы оправдать ее создание;</w:t>
      </w:r>
    </w:p>
    <w:p w14:paraId="5F1386EA" w14:textId="77777777" w:rsidR="007E2AE7" w:rsidRPr="002B6420" w:rsidRDefault="007E2AE7" w:rsidP="0035402D">
      <w:pPr>
        <w:pStyle w:val="a3"/>
        <w:numPr>
          <w:ilvl w:val="0"/>
          <w:numId w:val="7"/>
        </w:numPr>
        <w:spacing w:before="0" w:beforeAutospacing="0" w:after="0" w:afterAutospacing="0"/>
        <w:ind w:left="0" w:firstLine="567"/>
        <w:rPr>
          <w:sz w:val="22"/>
          <w:szCs w:val="22"/>
        </w:rPr>
      </w:pPr>
      <w:r w:rsidRPr="002B6420">
        <w:rPr>
          <w:sz w:val="22"/>
          <w:szCs w:val="22"/>
        </w:rPr>
        <w:lastRenderedPageBreak/>
        <w:t>ограничение количества подходящих к одному функциональному блоку (выходящих из одного функционального блока) интерфейсных дуг четырьмя.</w:t>
      </w:r>
    </w:p>
    <w:p w14:paraId="0B2BB074" w14:textId="77777777" w:rsidR="007E2AE7" w:rsidRPr="002B6420" w:rsidRDefault="007E2AE7" w:rsidP="007E2AE7">
      <w:pPr>
        <w:pStyle w:val="a3"/>
        <w:spacing w:before="0" w:beforeAutospacing="0" w:after="0" w:afterAutospacing="0"/>
        <w:ind w:firstLine="567"/>
        <w:rPr>
          <w:sz w:val="22"/>
          <w:szCs w:val="22"/>
        </w:rPr>
      </w:pPr>
      <w:r w:rsidRPr="002B6420">
        <w:rPr>
          <w:sz w:val="22"/>
          <w:szCs w:val="22"/>
        </w:rPr>
        <w:t>Разумеется, строго следовать этим ограничениям вовсе необязательно, однако, как показывает опыт, они являются весьма практичными в реальной работе.</w:t>
      </w:r>
    </w:p>
    <w:p w14:paraId="40462BE7" w14:textId="77777777" w:rsidR="007E2AE7" w:rsidRPr="002B6420" w:rsidRDefault="007E2AE7" w:rsidP="00FA62C7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</w:p>
    <w:p w14:paraId="2B23B329" w14:textId="47360F60" w:rsidR="00410E31" w:rsidRPr="002B6420" w:rsidRDefault="00410E31" w:rsidP="007E2AE7">
      <w:pPr>
        <w:pStyle w:val="a3"/>
        <w:jc w:val="center"/>
        <w:rPr>
          <w:sz w:val="22"/>
          <w:szCs w:val="22"/>
        </w:rPr>
      </w:pPr>
      <w:r w:rsidRPr="002B6420">
        <w:rPr>
          <w:noProof/>
          <w:sz w:val="22"/>
          <w:szCs w:val="22"/>
        </w:rPr>
        <w:drawing>
          <wp:inline distT="0" distB="0" distL="0" distR="0" wp14:anchorId="6E2D3832" wp14:editId="130E7D14">
            <wp:extent cx="4609769" cy="5890260"/>
            <wp:effectExtent l="0" t="0" r="635" b="0"/>
            <wp:docPr id="9" name="Рисунок 9" descr="Увеличить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Увеличить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937" cy="591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F3C1" w14:textId="77777777" w:rsidR="00410E31" w:rsidRPr="002B6420" w:rsidRDefault="00410E31" w:rsidP="007E2AE7">
      <w:pPr>
        <w:pStyle w:val="a3"/>
        <w:jc w:val="center"/>
        <w:rPr>
          <w:sz w:val="22"/>
          <w:szCs w:val="22"/>
        </w:rPr>
      </w:pPr>
      <w:r w:rsidRPr="002B6420">
        <w:rPr>
          <w:sz w:val="22"/>
          <w:szCs w:val="22"/>
        </w:rPr>
        <w:t>Рис. 2. Декомпозиция функциональных блоков</w:t>
      </w:r>
    </w:p>
    <w:p w14:paraId="229D27C0" w14:textId="77777777" w:rsidR="00410E31" w:rsidRPr="002B6420" w:rsidRDefault="00410E31" w:rsidP="008275DD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7782C1D9" w14:textId="4A4617F6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 xml:space="preserve">2. </w:t>
      </w:r>
      <w:r w:rsidR="00D869E0" w:rsidRPr="002B6420">
        <w:rPr>
          <w:rFonts w:ascii="Times New Roman" w:eastAsia="Times New Roman" w:hAnsi="Times New Roman" w:cs="Times New Roman"/>
          <w:b/>
          <w:bCs/>
          <w:lang w:eastAsia="ru-RU"/>
        </w:rPr>
        <w:t>Пример предметной области (о</w:t>
      </w: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писание предметной области</w:t>
      </w:r>
      <w:r w:rsidR="00D869E0" w:rsidRPr="002B6420">
        <w:rPr>
          <w:rFonts w:ascii="Times New Roman" w:eastAsia="Times New Roman" w:hAnsi="Times New Roman" w:cs="Times New Roman"/>
          <w:b/>
          <w:bCs/>
          <w:lang w:eastAsia="ru-RU"/>
        </w:rPr>
        <w:t xml:space="preserve">) </w:t>
      </w:r>
    </w:p>
    <w:p w14:paraId="6E539CB6" w14:textId="77777777" w:rsidR="00C833A2" w:rsidRPr="002B6420" w:rsidRDefault="00C833A2" w:rsidP="007E2AE7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2.1 Краткая характеристика производства трикотажных изделий</w:t>
      </w:r>
    </w:p>
    <w:p w14:paraId="304F0CC8" w14:textId="57B7EB9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Для производства одежды применяют различные материалы</w:t>
      </w:r>
      <w:r w:rsidR="009474CD" w:rsidRPr="002B6420">
        <w:rPr>
          <w:rFonts w:ascii="Times New Roman" w:eastAsia="Times New Roman" w:hAnsi="Times New Roman" w:cs="Times New Roman"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 xml:space="preserve">Промышленность изготовляет в основном одежду из тканей и трикотажных полотен. </w:t>
      </w:r>
    </w:p>
    <w:p w14:paraId="63AA0F40" w14:textId="7777777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К трикотажным относят изделия, полученные из нитей (пряжи) путем машинного или ручного вязания.</w:t>
      </w:r>
    </w:p>
    <w:p w14:paraId="45D5552F" w14:textId="3A96F61C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По назначению вырабатываемой продукции трикотажную промышленность подразделяют на виды производств: верхний и бельевой трикотаж, чулочно-носочные, перчаточное, техническое полотно и медицинские изделия.</w:t>
      </w:r>
    </w:p>
    <w:p w14:paraId="2431B787" w14:textId="7777777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Трикотажное изделие характеризует большая растяжимость и пластичность, что дает возможность достижения ощущения легкости и комфорта.</w:t>
      </w:r>
    </w:p>
    <w:p w14:paraId="225A8C83" w14:textId="7777777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Трикотажем</w:t>
      </w:r>
      <w:r w:rsidRPr="002B6420">
        <w:rPr>
          <w:rFonts w:ascii="Times New Roman" w:eastAsia="Times New Roman" w:hAnsi="Times New Roman" w:cs="Times New Roman"/>
          <w:lang w:eastAsia="ru-RU"/>
        </w:rPr>
        <w:t xml:space="preserve"> называется текстильное полотно или изделие, полученное путем вязания, поэтому любой трикотажный материал представляет собой систему петель, соединенных в продольном и поперечном направлениях.</w:t>
      </w:r>
    </w:p>
    <w:p w14:paraId="0F035369" w14:textId="7777777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 xml:space="preserve">Для получения ткани в простейшем случае необходимы две системы нитей (основа и уток). Трикотаж может быть связан полностью из одной нити. А </w:t>
      </w:r>
      <w:proofErr w:type="gramStart"/>
      <w:r w:rsidRPr="002B6420">
        <w:rPr>
          <w:rFonts w:ascii="Times New Roman" w:eastAsia="Times New Roman" w:hAnsi="Times New Roman" w:cs="Times New Roman"/>
          <w:lang w:eastAsia="ru-RU"/>
        </w:rPr>
        <w:t>так же</w:t>
      </w:r>
      <w:proofErr w:type="gramEnd"/>
      <w:r w:rsidRPr="002B6420">
        <w:rPr>
          <w:rFonts w:ascii="Times New Roman" w:eastAsia="Times New Roman" w:hAnsi="Times New Roman" w:cs="Times New Roman"/>
          <w:lang w:eastAsia="ru-RU"/>
        </w:rPr>
        <w:t xml:space="preserve"> трикотажные изделия могут быть изготовлены следующими способами:</w:t>
      </w:r>
    </w:p>
    <w:p w14:paraId="0DA38CA9" w14:textId="34DB6FA2" w:rsidR="00C833A2" w:rsidRPr="002B6420" w:rsidRDefault="00C833A2" w:rsidP="007E2AE7">
      <w:pPr>
        <w:pStyle w:val="a5"/>
        <w:numPr>
          <w:ilvl w:val="0"/>
          <w:numId w:val="1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Раскройный</w:t>
      </w:r>
    </w:p>
    <w:p w14:paraId="5657D4A2" w14:textId="61566561" w:rsidR="00C833A2" w:rsidRPr="002B6420" w:rsidRDefault="00C833A2" w:rsidP="007E2AE7">
      <w:pPr>
        <w:pStyle w:val="a5"/>
        <w:numPr>
          <w:ilvl w:val="0"/>
          <w:numId w:val="1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Полурегулярный</w:t>
      </w:r>
    </w:p>
    <w:p w14:paraId="02852F42" w14:textId="4A7C17AC" w:rsidR="00C833A2" w:rsidRPr="002B6420" w:rsidRDefault="00C833A2" w:rsidP="007E2AE7">
      <w:pPr>
        <w:pStyle w:val="a5"/>
        <w:numPr>
          <w:ilvl w:val="0"/>
          <w:numId w:val="1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Регулярный</w:t>
      </w:r>
    </w:p>
    <w:p w14:paraId="4A72B9BD" w14:textId="4C6C5EEC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 xml:space="preserve">Раскройный способ состоит в том, что трикотажное полотно раскраивают, т.е. вырезают из него детали изделий по лекалам и соединяют их на швейной машине, придавая изделиям необходимую форму. </w:t>
      </w:r>
    </w:p>
    <w:p w14:paraId="2E4C5B6F" w14:textId="748259E6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 xml:space="preserve">Полурегулярный способ отличается от предыдущего тем, что трикотажное полотно вяжется на кругловязальной машине в виде купонов трубчатой формы. Купоны отделяются один от другого с помощью разделительного петельного ряда так, что нижний край купона имеет цельный нераспускающийся петельный ряд, не требующий швейной обработки. </w:t>
      </w:r>
    </w:p>
    <w:p w14:paraId="79A2BF1B" w14:textId="237847BA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lang w:eastAsia="ru-RU"/>
        </w:rPr>
        <w:t>Регулярный способ изготовления изделия состоит в том, что изделия вывязываются целиком без швов или отдельные детали вяжутся по контуру, а потом сшиваются цепным стежком.</w:t>
      </w:r>
    </w:p>
    <w:p w14:paraId="738A71B5" w14:textId="7777777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14:paraId="2139132F" w14:textId="7777777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2.2 Описание основных бизнес-процессов трикотажной фабрики (на основе диаграммы с методологией IDEF0)</w:t>
      </w:r>
    </w:p>
    <w:p w14:paraId="47194FB8" w14:textId="0E22FFE3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Контроль качества сырья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Сырье, поступившее на склад трикотажного предприятия, оценивают по внешнему виду. Образцы сырья испытывают в лаборатории для определения физико-механических показателей. Методы испытания сырья и виды его пороков должны соответствовать указанным в действующей нормативно-технической документации.</w:t>
      </w:r>
    </w:p>
    <w:p w14:paraId="6D637EFC" w14:textId="198F728E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Расфасовка сырья.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После лабораторных испытаний сырье партиями поступает на цеховые склады в ящиках, коробках или другой таре. На цеховом складе сырье распаковывается и расфасовывается. Расфасованное сырье подается к вязальным машинам. Обнаруженные при расфасовке бобины с дефектной намоткой откладывают для перематывания.</w:t>
      </w:r>
    </w:p>
    <w:p w14:paraId="0E07BAFC" w14:textId="6DBF2515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Вязание полотна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Перед вязанием нити должны выдерживаться в местах хранения не менее 10 ч при нормальных климатических условиях. Полотно вяжется на машинах в соответствии с заправочными данными. Плотность вязания измеряют на машине в свободном состоянии полотна. Куски полотна из нитей одной линейной плотности вяжутся одинаковой массы (10–12 кг) с отклонениями, не превышающими 5%.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Качество полотна в процессе вязания на протяжении всей смены контролируют вязальщица и помощник мастера.</w:t>
      </w:r>
    </w:p>
    <w:p w14:paraId="14B8540F" w14:textId="13B8E23E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Подготовка полотна к раскрою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Трикотажное полотно после отделки поступает в отделы подготовки полотна к раскрою, в которых осуществляют: прием полотна и прикладных материалов; разбраковка полотна, т.е. полотно просматривается на машине с обеих сторон для определения его качества и выявления пороков; хранение (от</w:t>
      </w:r>
      <w:r w:rsidR="00FA62C7" w:rsidRPr="002B6420">
        <w:rPr>
          <w:rFonts w:ascii="Times New Roman" w:eastAsia="Times New Roman" w:hAnsi="Times New Roman" w:cs="Times New Roman"/>
          <w:lang w:eastAsia="ru-RU"/>
        </w:rPr>
        <w:t>с</w:t>
      </w:r>
      <w:r w:rsidRPr="002B6420">
        <w:rPr>
          <w:rFonts w:ascii="Times New Roman" w:eastAsia="Times New Roman" w:hAnsi="Times New Roman" w:cs="Times New Roman"/>
          <w:lang w:eastAsia="ru-RU"/>
        </w:rPr>
        <w:t>леживание) полотна; подбор полотна по артикулам и ширинам; комплектование полотен в настил; подготовку трафарета; подготовку прикладных материалов и выдачу их в раскрой; расчет карты раскроя полотна для каждого настила.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Подобранные для настила куски полотна подаются в раскройный цех вместе с картой раскроя и подготовленным трафаретом.</w:t>
      </w:r>
    </w:p>
    <w:p w14:paraId="4BE0844D" w14:textId="0A118E73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Обмеловка настила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Обмеловку верхнего слоя настила, или нанесение контуров раскраиваемых деталей на верхний слой настила, выполняют двумя способами: по лекалам и по трафарету.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При обмеловке по лекалам на верхнем слое настила в соответствии с зарисовкой раскладки раскладывают лекала таким образом, чтобы площадь полотна была использована наиболее рационально.</w:t>
      </w:r>
    </w:p>
    <w:p w14:paraId="26787D9A" w14:textId="25329818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Раскрой полотна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Раскрою полотна предшествует операции настилания полотна и разрезания его на секции.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Настилание полотна выполняется с помощью машины и вручную. Настил полотна разрезают передвижными раскройными машинами с прямыми и дисковыми ножами и стационарными ленточными машинами.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Контроль качества кроя производится по контрольным лекалам путем совмещения с ними выкроенных деталей из настила.</w:t>
      </w:r>
    </w:p>
    <w:p w14:paraId="1C7E1A36" w14:textId="7E8DB9BC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Комплектование кроеных деталей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Раскроенные детали после контроля и сортировки комплектуют в пачки. При этом их просматривают, разбирают по цветам и оттенкам, подрезают в тех местах, где они не могут быть разрезаны машинами в настиле, исправляют неточности механического раскроя.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 xml:space="preserve">Конечным продуктом раскройного цеха является комплект, т.е. </w:t>
      </w:r>
      <w:r w:rsidR="007E2AE7" w:rsidRPr="002B6420">
        <w:rPr>
          <w:rFonts w:ascii="Times New Roman" w:eastAsia="Times New Roman" w:hAnsi="Times New Roman" w:cs="Times New Roman"/>
          <w:lang w:eastAsia="ru-RU"/>
        </w:rPr>
        <w:t>пачка деталей,</w:t>
      </w:r>
      <w:r w:rsidRPr="002B6420">
        <w:rPr>
          <w:rFonts w:ascii="Times New Roman" w:eastAsia="Times New Roman" w:hAnsi="Times New Roman" w:cs="Times New Roman"/>
          <w:lang w:eastAsia="ru-RU"/>
        </w:rPr>
        <w:t xml:space="preserve"> подобранных по артикулу полотна, цвету, оттенку и рисунку.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Пачки направляют на швейные агрегаты.</w:t>
      </w:r>
    </w:p>
    <w:p w14:paraId="75FEE87D" w14:textId="628CDECC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Шитье трикотажных изделий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Процессы шитья охватывают целый комплекс операций, которые в основном разделяют на следующие: швейные, влажно-тепловые и вспомогательные.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 xml:space="preserve">Технологический процесс производства изделий разделяется на отдельные технологически неделимые операции, </w:t>
      </w:r>
      <w:r w:rsidRPr="002B6420">
        <w:rPr>
          <w:rFonts w:ascii="Times New Roman" w:eastAsia="Times New Roman" w:hAnsi="Times New Roman" w:cs="Times New Roman"/>
          <w:lang w:eastAsia="ru-RU"/>
        </w:rPr>
        <w:lastRenderedPageBreak/>
        <w:t>выполняемые при необходимости на различном оборудовании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Операции выполняются синхронно на всех рабочих местах потока в соответствии с установленным ритмом движения изделий.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6420">
        <w:rPr>
          <w:rFonts w:ascii="Times New Roman" w:eastAsia="Times New Roman" w:hAnsi="Times New Roman" w:cs="Times New Roman"/>
          <w:lang w:eastAsia="ru-RU"/>
        </w:rPr>
        <w:t>Одним из требований, предъявляемых к изготовлению одежды, является точность и высокое качество влажно-тепловой обработки, гарантирующее отсутствие морщин, заломов и опалов изделия.</w:t>
      </w:r>
      <w:r w:rsidR="007E2AE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E2AE7">
        <w:rPr>
          <w:rFonts w:ascii="Times New Roman" w:eastAsia="Times New Roman" w:hAnsi="Times New Roman" w:cs="Times New Roman"/>
          <w:lang w:eastAsia="ru-RU"/>
        </w:rPr>
        <w:t>Вспомогательные операции</w:t>
      </w:r>
      <w:r w:rsidRPr="002B6420">
        <w:rPr>
          <w:rFonts w:ascii="Times New Roman" w:eastAsia="Times New Roman" w:hAnsi="Times New Roman" w:cs="Times New Roman"/>
          <w:lang w:eastAsia="ru-RU"/>
        </w:rPr>
        <w:t xml:space="preserve"> включают в себя пришивание этикеток, сортировку изделий, очистку готовых изделий от концов ниток, а также упаковку изделий.</w:t>
      </w:r>
    </w:p>
    <w:p w14:paraId="15E2D471" w14:textId="13E1A2D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Технический контроль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Он выполняется на всех технологических переходах при изготовлении изделий из полотна и купонов. Задачи технического контроля – проверка соответствия показателей сырья и материалов, поступающих на предприятие, показателям действующих стандартов и технических условий, проверка качества выполнения технологических операций и качества полотна и купонов в процессе производства.</w:t>
      </w:r>
    </w:p>
    <w:p w14:paraId="39FCA0E8" w14:textId="7777777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2.3 Описание вспомогательных бизнес-процессов трикотажной фабрики (на основе диаграммы с методологией IDEF0)</w:t>
      </w:r>
    </w:p>
    <w:p w14:paraId="773CF211" w14:textId="462E9880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Бухгалтерия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Ведение полномасштабного бухгалтерского учета, в плане счетов которой пять уровней аналитики, детально отражены все бухгалтерские операции, включая акт взаимозачета, акт сверки, и сотни других операций. Подготовка бухгалтерии предприятия (отчеты) – это насущная необходимость для предприятия, так как данные при составлении бухгалтерской отчетности используются внешними пользователями для оценки эффективности деятельности организации, а также для экономического анализа в самой организации.</w:t>
      </w:r>
    </w:p>
    <w:p w14:paraId="69D97B50" w14:textId="35B06244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Маркетинговый отдел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Исходя из общих целей предприятия, целью отдела маркетинга является выработка рекомендаций по формированию и проведению производственно-сбытовой политики предприятия, а также координация деятельности в этой области всех подразделений предприятия. Все подразделения предприятия обязаны предоставлять отделу маркетинга любую информацию о характере и результатах своей деятельности. В свою очередь отдел маркетинга обязан предоставлять всем другим подразделениям предприятия информацию, необходимую для рыночной ориентации их деятельности.</w:t>
      </w:r>
    </w:p>
    <w:p w14:paraId="1424F99C" w14:textId="43DCE65A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Финансовый контроль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При помощи финансового контроля выверяется соответствие натуральных и стоимостных показателей, соответствие производственной деятельности законодательству, правильности взаиморасчетов с бюджетом. В центре внимания финансового контроля находится прибыль от реализации продукции. Общая прибыль и рентабельность. Контроль внутри предприятия способствует эффективности производственно-хозяйственной деятельности, сохранности имущества предприятия.</w:t>
      </w:r>
    </w:p>
    <w:p w14:paraId="37163C10" w14:textId="4A067B1A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Внутренний аудит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Внутренний аудит – это деятельность по предоставлению независимых и объективных гарантий и консультаций, направленных на совершенствование хозяйственной деятельности организации. Он помогает организации, достичь, поставленные цели, используя систематизированный и последовательный подход к оценке и повышению эффективности управления рисками, контроля и системы корпоративного управления. Организация, цели, роль и функции внутреннего аудита, определяются руководством и (или) собственником экономического субъекта в зависимости от организационно-правовой формы и сложившейся системы управления, содержания и специфики деятельности, объемов финансово-экономической деятельности и состояния внутреннего контроля.</w:t>
      </w:r>
    </w:p>
    <w:p w14:paraId="1FEDACCF" w14:textId="72CB04A7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Техническая поддержка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Позволяет обеспечить постоянное взаимодействие трикотажной фабрики со своими ремонтными службами, стимулируя их к своевременному профилактическому осмотру и ремонту станков и другого оборудования, заказу и приобретению ими запасных частей и дополнительного оборудования, контролирует загруженность мощностей завода.</w:t>
      </w:r>
    </w:p>
    <w:p w14:paraId="59A7EC34" w14:textId="7F7B5BF4" w:rsidR="00C833A2" w:rsidRPr="002B6420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2B6420">
        <w:rPr>
          <w:rFonts w:ascii="Times New Roman" w:eastAsia="Times New Roman" w:hAnsi="Times New Roman" w:cs="Times New Roman"/>
          <w:b/>
          <w:bCs/>
          <w:lang w:eastAsia="ru-RU"/>
        </w:rPr>
        <w:t>Сбытовая сеть</w:t>
      </w:r>
      <w:r w:rsidR="007E2AE7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  <w:r w:rsidRPr="002B6420">
        <w:rPr>
          <w:rFonts w:ascii="Times New Roman" w:eastAsia="Times New Roman" w:hAnsi="Times New Roman" w:cs="Times New Roman"/>
          <w:lang w:eastAsia="ru-RU"/>
        </w:rPr>
        <w:t>Организация системы сбыта готовой продукции требует комплексного рационального подхода и решения целого ряда проблем, связанных в конечном итоге с определением эффективности той или иной системы организации сбытовой деятельности. Таким образом, вырастает важность и необходимость установления широких личных контактов с потенциальными покупателями и партнерами по бизнесу.</w:t>
      </w:r>
    </w:p>
    <w:p w14:paraId="7722B044" w14:textId="77777777" w:rsidR="00C833A2" w:rsidRDefault="00C833A2" w:rsidP="00C833A2">
      <w:pPr>
        <w:pStyle w:val="a3"/>
        <w:rPr>
          <w:b/>
          <w:bCs/>
        </w:rPr>
      </w:pPr>
    </w:p>
    <w:p w14:paraId="7BDBD693" w14:textId="7EF2F8F7" w:rsidR="00C833A2" w:rsidRDefault="00C833A2" w:rsidP="00C833A2">
      <w:pPr>
        <w:pStyle w:val="a3"/>
      </w:pPr>
      <w:r>
        <w:rPr>
          <w:b/>
          <w:bCs/>
        </w:rPr>
        <w:t xml:space="preserve">Приложение 1 </w:t>
      </w:r>
      <w:r w:rsidR="00D869E0">
        <w:rPr>
          <w:b/>
          <w:bCs/>
        </w:rPr>
        <w:t xml:space="preserve">Производство трикотажных изделий </w:t>
      </w:r>
      <w:r>
        <w:rPr>
          <w:b/>
          <w:bCs/>
        </w:rPr>
        <w:t>(IDEF0)</w:t>
      </w:r>
    </w:p>
    <w:p w14:paraId="3BC3ACF4" w14:textId="0B870442" w:rsidR="00C833A2" w:rsidRDefault="00C833A2" w:rsidP="00C833A2">
      <w:pPr>
        <w:pStyle w:val="a3"/>
      </w:pPr>
      <w:r>
        <w:rPr>
          <w:b/>
          <w:bCs/>
          <w:noProof/>
        </w:rPr>
        <w:lastRenderedPageBreak/>
        <w:drawing>
          <wp:inline distT="0" distB="0" distL="0" distR="0" wp14:anchorId="06019FB8" wp14:editId="3C43AE6B">
            <wp:extent cx="6195060" cy="34213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E7AD" w14:textId="2327D762" w:rsidR="00C833A2" w:rsidRDefault="00C833A2" w:rsidP="00C833A2">
      <w:pPr>
        <w:pStyle w:val="a3"/>
      </w:pPr>
      <w:r>
        <w:rPr>
          <w:b/>
          <w:bCs/>
          <w:noProof/>
        </w:rPr>
        <w:drawing>
          <wp:inline distT="0" distB="0" distL="0" distR="0" wp14:anchorId="0758FC83" wp14:editId="22E76C06">
            <wp:extent cx="6195060" cy="3878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4E6C" w14:textId="68B518EC" w:rsidR="00C833A2" w:rsidRDefault="00C833A2" w:rsidP="00C833A2">
      <w:pPr>
        <w:pStyle w:val="a3"/>
      </w:pPr>
      <w:r>
        <w:rPr>
          <w:b/>
          <w:bCs/>
          <w:noProof/>
        </w:rPr>
        <w:lastRenderedPageBreak/>
        <w:drawing>
          <wp:inline distT="0" distB="0" distL="0" distR="0" wp14:anchorId="049BFB79" wp14:editId="52036E8E">
            <wp:extent cx="6195060" cy="4274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6DE8" w14:textId="7483B636" w:rsidR="00C833A2" w:rsidRDefault="00C833A2" w:rsidP="00C833A2">
      <w:pPr>
        <w:pStyle w:val="a3"/>
      </w:pPr>
      <w:r>
        <w:rPr>
          <w:b/>
          <w:bCs/>
          <w:noProof/>
        </w:rPr>
        <w:drawing>
          <wp:inline distT="0" distB="0" distL="0" distR="0" wp14:anchorId="6F0B131E" wp14:editId="5A4A6EA6">
            <wp:extent cx="6195060" cy="4297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53F9" w14:textId="0AA998D0" w:rsidR="00C833A2" w:rsidRDefault="00C833A2" w:rsidP="00C833A2">
      <w:pPr>
        <w:pStyle w:val="a3"/>
      </w:pPr>
      <w:r>
        <w:rPr>
          <w:b/>
          <w:bCs/>
          <w:noProof/>
        </w:rPr>
        <w:lastRenderedPageBreak/>
        <w:drawing>
          <wp:inline distT="0" distB="0" distL="0" distR="0" wp14:anchorId="16E94EA7" wp14:editId="5D97266A">
            <wp:extent cx="6195060" cy="42976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2024" w14:textId="56028315" w:rsidR="00C833A2" w:rsidRDefault="00C833A2" w:rsidP="00C833A2">
      <w:pPr>
        <w:pStyle w:val="a3"/>
      </w:pPr>
      <w:r>
        <w:rPr>
          <w:b/>
          <w:bCs/>
          <w:noProof/>
        </w:rPr>
        <w:drawing>
          <wp:inline distT="0" distB="0" distL="0" distR="0" wp14:anchorId="0F7B0DC0" wp14:editId="61BE20F0">
            <wp:extent cx="6195060" cy="4305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2F71F" w14:textId="7C016B5C" w:rsidR="00C833A2" w:rsidRDefault="00C833A2" w:rsidP="00C833A2">
      <w:pPr>
        <w:pStyle w:val="a3"/>
      </w:pPr>
      <w:r>
        <w:rPr>
          <w:b/>
          <w:bCs/>
          <w:noProof/>
        </w:rPr>
        <w:lastRenderedPageBreak/>
        <w:drawing>
          <wp:inline distT="0" distB="0" distL="0" distR="0" wp14:anchorId="7ECB3140" wp14:editId="14BB99A1">
            <wp:extent cx="6195060" cy="4305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E71E" w14:textId="4EE0C015" w:rsidR="00E538ED" w:rsidRPr="00C833A2" w:rsidRDefault="00E538ED">
      <w:pPr>
        <w:rPr>
          <w:lang w:val="en-US"/>
        </w:rPr>
      </w:pPr>
    </w:p>
    <w:sectPr w:rsidR="00E538ED" w:rsidRPr="00C833A2" w:rsidSect="00B12AD2">
      <w:pgSz w:w="11906" w:h="16838"/>
      <w:pgMar w:top="1207" w:right="861" w:bottom="851" w:left="850" w:header="720" w:footer="3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1D6E"/>
    <w:multiLevelType w:val="multilevel"/>
    <w:tmpl w:val="8E9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266CC"/>
    <w:multiLevelType w:val="hybridMultilevel"/>
    <w:tmpl w:val="72E2DEC4"/>
    <w:lvl w:ilvl="0" w:tplc="304C365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BCA20A8"/>
    <w:multiLevelType w:val="hybridMultilevel"/>
    <w:tmpl w:val="78E098AC"/>
    <w:lvl w:ilvl="0" w:tplc="974A6008">
      <w:start w:val="1"/>
      <w:numFmt w:val="decimal"/>
      <w:lvlText w:val="%1)"/>
      <w:lvlJc w:val="left"/>
      <w:pPr>
        <w:ind w:left="1659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2BF22249"/>
    <w:multiLevelType w:val="hybridMultilevel"/>
    <w:tmpl w:val="FA761FFC"/>
    <w:lvl w:ilvl="0" w:tplc="0366D4E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513065D"/>
    <w:multiLevelType w:val="hybridMultilevel"/>
    <w:tmpl w:val="7B7A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23204"/>
    <w:multiLevelType w:val="hybridMultilevel"/>
    <w:tmpl w:val="21622106"/>
    <w:lvl w:ilvl="0" w:tplc="304C365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F707E5"/>
    <w:multiLevelType w:val="hybridMultilevel"/>
    <w:tmpl w:val="04BAC0FA"/>
    <w:lvl w:ilvl="0" w:tplc="E2EE7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A2"/>
    <w:rsid w:val="0000708D"/>
    <w:rsid w:val="000351A2"/>
    <w:rsid w:val="00073E9A"/>
    <w:rsid w:val="001A7D7F"/>
    <w:rsid w:val="002A6915"/>
    <w:rsid w:val="002B6420"/>
    <w:rsid w:val="003240AC"/>
    <w:rsid w:val="0035402D"/>
    <w:rsid w:val="003A7A72"/>
    <w:rsid w:val="00410E31"/>
    <w:rsid w:val="007877D2"/>
    <w:rsid w:val="007E2AE7"/>
    <w:rsid w:val="008275DD"/>
    <w:rsid w:val="008A5FC0"/>
    <w:rsid w:val="009474CD"/>
    <w:rsid w:val="00B12AD2"/>
    <w:rsid w:val="00C16130"/>
    <w:rsid w:val="00C833A2"/>
    <w:rsid w:val="00D869E0"/>
    <w:rsid w:val="00E538ED"/>
    <w:rsid w:val="00E7213A"/>
    <w:rsid w:val="00FA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1A8F3"/>
  <w15:chartTrackingRefBased/>
  <w15:docId w15:val="{61E05564-C8B1-44AE-B4E0-7B580D70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83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33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0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sid w:val="00410E31"/>
    <w:rPr>
      <w:b/>
      <w:bCs/>
    </w:rPr>
  </w:style>
  <w:style w:type="paragraph" w:styleId="a5">
    <w:name w:val="List Paragraph"/>
    <w:basedOn w:val="a"/>
    <w:uiPriority w:val="34"/>
    <w:qFormat/>
    <w:rsid w:val="00FA62C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070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5" Type="http://schemas.openxmlformats.org/officeDocument/2006/relationships/hyperlink" Target="https://app.diagrams.net/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3068</Words>
  <Characters>17491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Fomin</dc:creator>
  <cp:keywords/>
  <dc:description/>
  <cp:lastModifiedBy>Vlad Fomin</cp:lastModifiedBy>
  <cp:revision>14</cp:revision>
  <dcterms:created xsi:type="dcterms:W3CDTF">2021-04-02T15:34:00Z</dcterms:created>
  <dcterms:modified xsi:type="dcterms:W3CDTF">2021-11-15T07:41:00Z</dcterms:modified>
</cp:coreProperties>
</file>