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D37E0" w:rsidRPr="004D37E0" w:rsidRDefault="004D37E0" w:rsidP="004D37E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D37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Dataset Description: Cashback and Customer Activity in 2022</w:t>
      </w:r>
    </w:p>
    <w:p w:rsidR="004D37E0" w:rsidRPr="004D37E0" w:rsidRDefault="004D37E0" w:rsidP="004D37E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37E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dataset contains transaction activity and cashback data for bank customers in 2022. Customers were offered cashback opportunities from various merchants, and the dataset includes both the bank-provided cashback and merchant-provided cashback. The data spans two periods: the last three months of 2022 and the preceding months (January 1 to August 1, 2022). Additionally, customers received communications about cashback opportunities, with metrics on engagement such as offer views and activations.</w:t>
      </w:r>
    </w:p>
    <w:p w:rsidR="004D37E0" w:rsidRPr="004D37E0" w:rsidRDefault="004D37E0" w:rsidP="004D37E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4D37E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Dataset Variables</w:t>
      </w:r>
    </w:p>
    <w:p w:rsidR="004D37E0" w:rsidRPr="004D37E0" w:rsidRDefault="004D37E0" w:rsidP="004D37E0">
      <w:pPr>
        <w:spacing w:before="100" w:beforeAutospacing="1" w:after="100" w:afterAutospacing="1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4D37E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Customer Identification</w:t>
      </w:r>
    </w:p>
    <w:p w:rsidR="004D37E0" w:rsidRPr="004D37E0" w:rsidRDefault="004D37E0" w:rsidP="004D37E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37E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id</w:t>
      </w:r>
      <w:r w:rsidRPr="004D37E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Unique identifier for each customer.</w:t>
      </w:r>
    </w:p>
    <w:p w:rsidR="004D37E0" w:rsidRPr="004D37E0" w:rsidRDefault="004D37E0" w:rsidP="004D37E0">
      <w:pPr>
        <w:spacing w:before="100" w:beforeAutospacing="1" w:after="100" w:afterAutospacing="1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4D37E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Cashback Metrics</w:t>
      </w:r>
    </w:p>
    <w:p w:rsidR="004D37E0" w:rsidRPr="004D37E0" w:rsidRDefault="004D37E0" w:rsidP="004D37E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37E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cb_merch_last_3_month</w:t>
      </w:r>
      <w:r w:rsidRPr="004D37E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Cashback received from merchants in the last 3 months of 2022.</w:t>
      </w:r>
    </w:p>
    <w:p w:rsidR="004D37E0" w:rsidRPr="004D37E0" w:rsidRDefault="004D37E0" w:rsidP="004D37E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37E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cb_bank_last_3_month</w:t>
      </w:r>
      <w:r w:rsidRPr="004D37E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Cashback received from the bank in the last 3 months of 2022.</w:t>
      </w:r>
    </w:p>
    <w:p w:rsidR="004D37E0" w:rsidRPr="004D37E0" w:rsidRDefault="004D37E0" w:rsidP="004D37E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37E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cb_merch_before</w:t>
      </w:r>
      <w:r w:rsidRPr="004D37E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Cashback received from merchants between January 1 and August 1, 2022.</w:t>
      </w:r>
    </w:p>
    <w:p w:rsidR="004D37E0" w:rsidRPr="004D37E0" w:rsidRDefault="004D37E0" w:rsidP="004D37E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37E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cb_bank_before</w:t>
      </w:r>
      <w:r w:rsidRPr="004D37E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Cashback received from the bank between January 1 and August 1, 2022.</w:t>
      </w:r>
    </w:p>
    <w:p w:rsidR="004D37E0" w:rsidRPr="004D37E0" w:rsidRDefault="004D37E0" w:rsidP="004D37E0">
      <w:pPr>
        <w:spacing w:before="100" w:beforeAutospacing="1" w:after="100" w:afterAutospacing="1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4D37E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Customer Communication and Engagement</w:t>
      </w:r>
    </w:p>
    <w:p w:rsidR="004D37E0" w:rsidRPr="004D37E0" w:rsidRDefault="004D37E0" w:rsidP="004D37E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37E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cnt_communication</w:t>
      </w:r>
      <w:r w:rsidRPr="004D37E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Total number of cashback-related communications sent to the customer.</w:t>
      </w:r>
    </w:p>
    <w:p w:rsidR="004D37E0" w:rsidRPr="004D37E0" w:rsidRDefault="004D37E0" w:rsidP="004D37E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37E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cnt_activation</w:t>
      </w:r>
      <w:r w:rsidRPr="004D37E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Number of cashback offers activated by the customer in the last 3 months.</w:t>
      </w:r>
    </w:p>
    <w:p w:rsidR="004D37E0" w:rsidRPr="004D37E0" w:rsidRDefault="004D37E0" w:rsidP="004D37E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37E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cnt_view</w:t>
      </w:r>
      <w:r w:rsidRPr="004D37E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Number of cashback-related offers viewed by the customer in the last 3 months.</w:t>
      </w:r>
    </w:p>
    <w:p w:rsidR="004D37E0" w:rsidRPr="004D37E0" w:rsidRDefault="004D37E0" w:rsidP="004D37E0">
      <w:pPr>
        <w:spacing w:before="100" w:beforeAutospacing="1" w:after="100" w:afterAutospacing="1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4D37E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Purchase Categories (Last 3 Months)</w:t>
      </w:r>
    </w:p>
    <w:p w:rsidR="004D37E0" w:rsidRPr="004D37E0" w:rsidRDefault="004D37E0" w:rsidP="004D37E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37E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Purchases are grouped into categories, with the total spend recorded for each in the last three months of 2022:</w:t>
      </w:r>
    </w:p>
    <w:p w:rsidR="004D37E0" w:rsidRPr="004D37E0" w:rsidRDefault="004D37E0" w:rsidP="004D37E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37E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Air</w:t>
      </w:r>
      <w:r w:rsidRPr="004D37E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Airline tickets.</w:t>
      </w:r>
    </w:p>
    <w:p w:rsidR="004D37E0" w:rsidRPr="004D37E0" w:rsidRDefault="004D37E0" w:rsidP="004D37E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37E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Beauty shop</w:t>
      </w:r>
      <w:r w:rsidRPr="004D37E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Beauty and personal care.</w:t>
      </w:r>
    </w:p>
    <w:p w:rsidR="004D37E0" w:rsidRPr="004D37E0" w:rsidRDefault="004D37E0" w:rsidP="004D37E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37E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Book store</w:t>
      </w:r>
      <w:r w:rsidRPr="004D37E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Books and related purchases.</w:t>
      </w:r>
    </w:p>
    <w:p w:rsidR="004D37E0" w:rsidRPr="004D37E0" w:rsidRDefault="004D37E0" w:rsidP="004D37E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37E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Children</w:t>
      </w:r>
      <w:r w:rsidRPr="004D37E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Products for children.</w:t>
      </w:r>
    </w:p>
    <w:p w:rsidR="004D37E0" w:rsidRPr="004D37E0" w:rsidRDefault="004D37E0" w:rsidP="004D37E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37E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Cinema</w:t>
      </w:r>
      <w:r w:rsidRPr="004D37E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Movie-related purchases.</w:t>
      </w:r>
    </w:p>
    <w:p w:rsidR="004D37E0" w:rsidRPr="004D37E0" w:rsidRDefault="004D37E0" w:rsidP="004D37E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37E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Clothes</w:t>
      </w:r>
      <w:r w:rsidRPr="004D37E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Apparel and accessories.</w:t>
      </w:r>
    </w:p>
    <w:p w:rsidR="004D37E0" w:rsidRPr="004D37E0" w:rsidRDefault="004D37E0" w:rsidP="004D37E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37E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Electronics</w:t>
      </w:r>
      <w:r w:rsidRPr="004D37E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Electronic goods.</w:t>
      </w:r>
    </w:p>
    <w:p w:rsidR="004D37E0" w:rsidRPr="004D37E0" w:rsidRDefault="004D37E0" w:rsidP="004D37E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37E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Fastfood</w:t>
      </w:r>
      <w:r w:rsidRPr="004D37E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Fast food.</w:t>
      </w:r>
    </w:p>
    <w:p w:rsidR="004D37E0" w:rsidRPr="004D37E0" w:rsidRDefault="004D37E0" w:rsidP="004D37E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37E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Fuel</w:t>
      </w:r>
      <w:r w:rsidRPr="004D37E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Fuel and gas station expenses.</w:t>
      </w:r>
    </w:p>
    <w:p w:rsidR="004D37E0" w:rsidRPr="004D37E0" w:rsidRDefault="004D37E0" w:rsidP="004D37E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37E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House</w:t>
      </w:r>
      <w:r w:rsidRPr="004D37E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Home-related purchases.</w:t>
      </w:r>
    </w:p>
    <w:p w:rsidR="004D37E0" w:rsidRPr="004D37E0" w:rsidRDefault="004D37E0" w:rsidP="004D37E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37E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Jewelry</w:t>
      </w:r>
      <w:r w:rsidRPr="004D37E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Jewelry and accessories.</w:t>
      </w:r>
    </w:p>
    <w:p w:rsidR="004D37E0" w:rsidRPr="004D37E0" w:rsidRDefault="004D37E0" w:rsidP="004D37E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37E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Other</w:t>
      </w:r>
      <w:r w:rsidRPr="004D37E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Miscellaneous purchases.</w:t>
      </w:r>
    </w:p>
    <w:p w:rsidR="004D37E0" w:rsidRPr="004D37E0" w:rsidRDefault="004D37E0" w:rsidP="004D37E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37E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Pet shop</w:t>
      </w:r>
      <w:r w:rsidRPr="004D37E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Pet-related purchases.</w:t>
      </w:r>
    </w:p>
    <w:p w:rsidR="004D37E0" w:rsidRPr="004D37E0" w:rsidRDefault="004D37E0" w:rsidP="004D37E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37E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Pharmacies</w:t>
      </w:r>
      <w:r w:rsidRPr="004D37E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Pharmaceutical products.</w:t>
      </w:r>
    </w:p>
    <w:p w:rsidR="004D37E0" w:rsidRPr="004D37E0" w:rsidRDefault="004D37E0" w:rsidP="004D37E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37E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Supermarkets</w:t>
      </w:r>
      <w:r w:rsidRPr="004D37E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Grocery and supermarket purchases.</w:t>
      </w:r>
    </w:p>
    <w:p w:rsidR="004D37E0" w:rsidRPr="004D37E0" w:rsidRDefault="004D37E0" w:rsidP="004D37E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37E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Taxi</w:t>
      </w:r>
      <w:r w:rsidRPr="004D37E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Ride-hailing or taxi services.</w:t>
      </w:r>
    </w:p>
    <w:p w:rsidR="004D37E0" w:rsidRPr="004D37E0" w:rsidRDefault="004D37E0" w:rsidP="004D37E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37E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Transport</w:t>
      </w:r>
      <w:r w:rsidRPr="004D37E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Public transportation and related services.</w:t>
      </w:r>
    </w:p>
    <w:p w:rsidR="004D37E0" w:rsidRPr="004D37E0" w:rsidRDefault="004D37E0" w:rsidP="004D37E0">
      <w:pPr>
        <w:spacing w:before="100" w:beforeAutospacing="1" w:after="100" w:afterAutospacing="1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4D37E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Purchase Categories (January 1 – August 1, 2022)</w:t>
      </w:r>
    </w:p>
    <w:p w:rsidR="004D37E0" w:rsidRPr="004D37E0" w:rsidRDefault="004D37E0" w:rsidP="004D37E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37E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same categories are tracked for purchases in the first eight months of 2022, with variables named as follows (e.g., </w:t>
      </w:r>
      <w:r w:rsidRPr="004D37E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Air_before</w:t>
      </w:r>
      <w:r w:rsidRPr="004D37E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4D37E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Beauty shop_before</w:t>
      </w:r>
      <w:r w:rsidRPr="004D37E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):</w:t>
      </w:r>
    </w:p>
    <w:p w:rsidR="004D37E0" w:rsidRPr="004D37E0" w:rsidRDefault="004D37E0" w:rsidP="004D37E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37E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Air_before</w:t>
      </w:r>
      <w:r w:rsidRPr="004D37E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4D37E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Beauty shop_before</w:t>
      </w:r>
      <w:r w:rsidRPr="004D37E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4D37E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Book store_before</w:t>
      </w:r>
      <w:r w:rsidRPr="004D37E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4D37E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Children_before</w:t>
      </w:r>
      <w:r w:rsidRPr="004D37E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4D37E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Cinema_before</w:t>
      </w:r>
      <w:r w:rsidRPr="004D37E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4D37E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Clothes_before</w:t>
      </w:r>
      <w:r w:rsidRPr="004D37E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4D37E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Electronics_before</w:t>
      </w:r>
      <w:r w:rsidRPr="004D37E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4D37E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Fastfood_before</w:t>
      </w:r>
      <w:r w:rsidRPr="004D37E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4D37E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Fuel_before</w:t>
      </w:r>
      <w:r w:rsidRPr="004D37E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4D37E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House_before</w:t>
      </w:r>
      <w:r w:rsidRPr="004D37E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4D37E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Jewelry_before</w:t>
      </w:r>
      <w:r w:rsidRPr="004D37E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4D37E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Other_before</w:t>
      </w:r>
      <w:r w:rsidRPr="004D37E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4D37E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Pet shop_before</w:t>
      </w:r>
      <w:r w:rsidRPr="004D37E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4D37E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Pharmacies_before</w:t>
      </w:r>
      <w:r w:rsidRPr="004D37E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4D37E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Supermarkets_before</w:t>
      </w:r>
      <w:r w:rsidRPr="004D37E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4D37E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Taxi_before</w:t>
      </w:r>
      <w:r w:rsidRPr="004D37E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4D37E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Transport_before</w:t>
      </w:r>
      <w:r w:rsidRPr="004D37E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4D37E0" w:rsidRPr="004D37E0" w:rsidRDefault="001421F4" w:rsidP="004D37E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421F4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4D37E0" w:rsidRPr="004D37E0" w:rsidRDefault="004D37E0" w:rsidP="004D37E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D37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Use Case for Analysis</w:t>
      </w:r>
    </w:p>
    <w:p w:rsidR="004D37E0" w:rsidRPr="004D37E0" w:rsidRDefault="004D37E0" w:rsidP="004D37E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37E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dataset can be used to study customer engagement with cashback offers, spending habits, and category-specific behavior over time. Potential analyses include:</w:t>
      </w:r>
    </w:p>
    <w:p w:rsidR="004D37E0" w:rsidRPr="004D37E0" w:rsidRDefault="004D37E0" w:rsidP="004D37E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37E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Engagement Metrics</w:t>
      </w:r>
      <w:r w:rsidRPr="004D37E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Examining the effectiveness of communications (e.g., views vs. activations).</w:t>
      </w:r>
    </w:p>
    <w:p w:rsidR="004D37E0" w:rsidRPr="004D37E0" w:rsidRDefault="004D37E0" w:rsidP="004D37E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37E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Cashback Effectiveness</w:t>
      </w:r>
      <w:r w:rsidRPr="004D37E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Comparing cashback received from merchants vs. the bank and its impact on spending behavior.</w:t>
      </w:r>
    </w:p>
    <w:p w:rsidR="004D37E0" w:rsidRPr="004D37E0" w:rsidRDefault="004D37E0" w:rsidP="004D37E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37E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Spending Trends</w:t>
      </w:r>
      <w:r w:rsidRPr="004D37E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Analyzing changes in spending patterns before and after receiving cashback communications.</w:t>
      </w:r>
    </w:p>
    <w:p w:rsidR="004D37E0" w:rsidRPr="004D37E0" w:rsidRDefault="004D37E0" w:rsidP="004D37E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37E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Customer Segmentation</w:t>
      </w:r>
      <w:r w:rsidRPr="004D37E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Grouping customers based on spending habits, engagement levels, or preferred categories.</w:t>
      </w:r>
    </w:p>
    <w:p w:rsidR="004D37E0" w:rsidRDefault="004D37E0"/>
    <w:sectPr w:rsidR="004D37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5F1B71"/>
    <w:multiLevelType w:val="multilevel"/>
    <w:tmpl w:val="D2C2F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B2FB0"/>
    <w:multiLevelType w:val="multilevel"/>
    <w:tmpl w:val="3E2E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923F08"/>
    <w:multiLevelType w:val="multilevel"/>
    <w:tmpl w:val="B7E2D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AE6B92"/>
    <w:multiLevelType w:val="multilevel"/>
    <w:tmpl w:val="2EE67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6B43AD"/>
    <w:multiLevelType w:val="multilevel"/>
    <w:tmpl w:val="09A8E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A64CFC"/>
    <w:multiLevelType w:val="multilevel"/>
    <w:tmpl w:val="376EF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8037872">
    <w:abstractNumId w:val="5"/>
  </w:num>
  <w:num w:numId="2" w16cid:durableId="272977067">
    <w:abstractNumId w:val="3"/>
  </w:num>
  <w:num w:numId="3" w16cid:durableId="139268855">
    <w:abstractNumId w:val="2"/>
  </w:num>
  <w:num w:numId="4" w16cid:durableId="973869106">
    <w:abstractNumId w:val="4"/>
  </w:num>
  <w:num w:numId="5" w16cid:durableId="1978222793">
    <w:abstractNumId w:val="0"/>
  </w:num>
  <w:num w:numId="6" w16cid:durableId="19195585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7E0"/>
    <w:rsid w:val="001421F4"/>
    <w:rsid w:val="004D3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2DE11469-C7BC-4247-A8F7-0D3DD72D4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D37E0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4D37E0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kern w:val="0"/>
      <w:lang w:eastAsia="en-GB"/>
      <w14:ligatures w14:val="none"/>
    </w:rPr>
  </w:style>
  <w:style w:type="paragraph" w:styleId="Heading5">
    <w:name w:val="heading 5"/>
    <w:basedOn w:val="Normal"/>
    <w:link w:val="Heading5Char"/>
    <w:uiPriority w:val="9"/>
    <w:qFormat/>
    <w:rsid w:val="004D37E0"/>
    <w:pPr>
      <w:spacing w:before="100" w:beforeAutospacing="1" w:after="100" w:afterAutospacing="1"/>
      <w:outlineLvl w:val="4"/>
    </w:pPr>
    <w:rPr>
      <w:rFonts w:ascii="Times New Roman" w:eastAsia="Times New Roman" w:hAnsi="Times New Roman" w:cs="Times New Roman"/>
      <w:b/>
      <w:bCs/>
      <w:kern w:val="0"/>
      <w:sz w:val="20"/>
      <w:szCs w:val="20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D37E0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4D37E0"/>
    <w:rPr>
      <w:rFonts w:ascii="Times New Roman" w:eastAsia="Times New Roman" w:hAnsi="Times New Roman" w:cs="Times New Roman"/>
      <w:b/>
      <w:bCs/>
      <w:kern w:val="0"/>
      <w:lang w:eastAsia="en-GB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4D37E0"/>
    <w:rPr>
      <w:rFonts w:ascii="Times New Roman" w:eastAsia="Times New Roman" w:hAnsi="Times New Roman" w:cs="Times New Roman"/>
      <w:b/>
      <w:bCs/>
      <w:kern w:val="0"/>
      <w:sz w:val="20"/>
      <w:szCs w:val="20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D37E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4D37E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768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472</Words>
  <Characters>2693</Characters>
  <Application>Microsoft Office Word</Application>
  <DocSecurity>0</DocSecurity>
  <Lines>22</Lines>
  <Paragraphs>6</Paragraphs>
  <ScaleCrop>false</ScaleCrop>
  <Company/>
  <LinksUpToDate>false</LinksUpToDate>
  <CharactersWithSpaces>3159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2024-12-09T17:22:00Z</dcterms:created>
  <dcterms:modified xsi:type="dcterms:W3CDTF">2024-12-09T17:23:00Z</dcterms:modified>
</cp:coreProperties>
</file>