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F4C81"/>
          <w:sz w:val="80"/>
        </w:rPr>
        <w:br/>
        <w:br/>
        <w:br/>
        <w:t>TripSky</w:t>
        <w:br/>
      </w:r>
    </w:p>
    <w:p>
      <w:pPr>
        <w:jc w:val="center"/>
      </w:pPr>
      <w:r>
        <w:rPr>
          <w:color w:val="7F8C8D"/>
          <w:sz w:val="36"/>
        </w:rPr>
        <w:t>Analyse des ventes et recommandations marketing</w:t>
      </w:r>
    </w:p>
    <w:p/>
    <w:p/>
    <w:p>
      <w:pPr>
        <w:jc w:val="center"/>
      </w:pPr>
      <w:r>
        <w:rPr>
          <w:i/>
        </w:rPr>
        <w:t>Rapport préparé pour June, Directrice Marketing</w:t>
        <w:br/>
      </w:r>
      <w:r>
        <w:rPr>
          <w:i/>
        </w:rPr>
        <w:t>Période analysée : 01/01/2023 – 10/03/2025</w:t>
        <w:br/>
      </w:r>
      <w:r>
        <w:rPr>
          <w:i/>
        </w:rPr>
        <w:t>Date du rapport : 24/05/2026</w:t>
      </w:r>
    </w:p>
    <w:p>
      <w:r>
        <w:br w:type="page"/>
      </w:r>
    </w:p>
    <w:p>
      <w:pPr>
        <w:pStyle w:val="Heading1"/>
      </w:pPr>
      <w:r>
        <w:rPr>
          <w:color w:val="0F4C81"/>
        </w:rPr>
        <w:t>Sommaire</w:t>
      </w:r>
    </w:p>
    <w:p>
      <w:pPr>
        <w:pStyle w:val="ListBullet"/>
      </w:pPr>
      <w:r>
        <w:rPr>
          <w:sz w:val="22"/>
        </w:rPr>
        <w:t>Résumé exécutif</w:t>
      </w:r>
    </w:p>
    <w:p>
      <w:pPr>
        <w:pStyle w:val="ListBullet"/>
      </w:pPr>
      <w:r>
        <w:rPr>
          <w:sz w:val="22"/>
        </w:rPr>
        <w:t>1. Contexte et problème métier</w:t>
      </w:r>
    </w:p>
    <w:p>
      <w:pPr>
        <w:pStyle w:val="ListBullet"/>
      </w:pPr>
      <w:r>
        <w:rPr>
          <w:sz w:val="22"/>
        </w:rPr>
        <w:t>2. Description des données</w:t>
      </w:r>
    </w:p>
    <w:p>
      <w:pPr>
        <w:pStyle w:val="ListBullet"/>
      </w:pPr>
      <w:r>
        <w:rPr>
          <w:sz w:val="22"/>
        </w:rPr>
        <w:t>3. Nettoyage et préparation</w:t>
      </w:r>
    </w:p>
    <w:p>
      <w:pPr>
        <w:pStyle w:val="ListBullet"/>
      </w:pPr>
      <w:r>
        <w:rPr>
          <w:sz w:val="22"/>
        </w:rPr>
        <w:t>4. Analyse exploratoire (EDA)</w:t>
      </w:r>
    </w:p>
    <w:p>
      <w:pPr>
        <w:pStyle w:val="ListBullet"/>
      </w:pPr>
      <w:r>
        <w:rPr>
          <w:sz w:val="22"/>
        </w:rPr>
        <w:t>5. Insights principaux</w:t>
      </w:r>
    </w:p>
    <w:p>
      <w:pPr>
        <w:pStyle w:val="ListBullet"/>
      </w:pPr>
      <w:r>
        <w:rPr>
          <w:sz w:val="22"/>
        </w:rPr>
        <w:t>6. Visualisation explicative et recommandations chiffrées</w:t>
      </w:r>
    </w:p>
    <w:p>
      <w:pPr>
        <w:pStyle w:val="ListBullet"/>
      </w:pPr>
      <w:r>
        <w:rPr>
          <w:sz w:val="22"/>
        </w:rPr>
        <w:t>7. Plan d'action et indicateurs de suivi</w:t>
      </w:r>
    </w:p>
    <w:p>
      <w:pPr>
        <w:pStyle w:val="ListBullet"/>
      </w:pPr>
      <w:r>
        <w:rPr>
          <w:sz w:val="22"/>
        </w:rPr>
        <w:t>8. Limites et prochaines étapes</w:t>
      </w:r>
    </w:p>
    <w:p>
      <w:r>
        <w:br w:type="page"/>
      </w:r>
    </w:p>
    <w:p>
      <w:pPr>
        <w:pStyle w:val="Heading1"/>
      </w:pPr>
      <w:r>
        <w:rPr>
          <w:color w:val="0F4C81"/>
        </w:rPr>
        <w:t>Résumé exécutif</w:t>
      </w:r>
    </w:p>
    <w:p>
      <w:r>
        <w:rPr>
          <w:b w:val="0"/>
          <w:i w:val="0"/>
          <w:sz w:val="22"/>
        </w:rPr>
        <w:t>Sur les 800 jours analysés (01/01/2023 → 10/03/2025) et les 798 clients du fichier nettoyé, TripSky a généré 3.97 M€ de revenu pour 4.01 M€ de dépenses publicitaires, soit une marge brute publicitaire de -45 k€ — légèrement négative.</w:t>
      </w:r>
    </w:p>
    <w:p>
      <w:r>
        <w:rPr>
          <w:b/>
          <w:i w:val="0"/>
          <w:sz w:val="22"/>
        </w:rPr>
        <w:t>L'analyse révèle trois faits structurants :</w:t>
      </w:r>
    </w:p>
    <w:p>
      <w:pPr>
        <w:pStyle w:val="ListBullet"/>
      </w:pPr>
      <w:r>
        <w:rPr>
          <w:sz w:val="22"/>
        </w:rPr>
        <w:t>La publicité n'achète pas de revenu supplémentaire (corrélation pub/revenu r = -0.04). Les jours à fort budget génèrent 0.68 € de revenu par € investi, contre 1.02 € sur les autres jours.</w:t>
      </w:r>
    </w:p>
    <w:p>
      <w:pPr>
        <w:pStyle w:val="ListBullet"/>
      </w:pPr>
      <w:r>
        <w:rPr>
          <w:sz w:val="22"/>
        </w:rPr>
        <w:t>Le revenu est concentré : top 3 destinations (Népal, Bali, France) = 32 % du CA ; top 2 saisons (Été, Hiver) écrasent les autres (+54 % vs la plus faible).</w:t>
      </w:r>
    </w:p>
    <w:p>
      <w:pPr>
        <w:pStyle w:val="ListBullet"/>
      </w:pPr>
      <w:r>
        <w:rPr>
          <w:sz w:val="22"/>
        </w:rPr>
        <w:t>La satisfaction est faible : note moyenne 2.48/5, 52 % des clients donnent ≤ 2/5.</w:t>
      </w:r>
    </w:p>
    <w:p>
      <w:r>
        <w:rPr>
          <w:b/>
          <w:i w:val="0"/>
          <w:sz w:val="22"/>
        </w:rPr>
        <w:t>Deux recommandations chiffrées en découlent :</w:t>
      </w:r>
    </w:p>
    <w:p>
      <w:pPr>
        <w:pStyle w:val="ListBullet"/>
      </w:pPr>
      <w:r>
        <w:rPr>
          <w:sz w:val="22"/>
        </w:rPr>
        <w:t>Reco A — Couper 30 % des dépenses publicitaires les moins efficaces : économie estimée ~153 k€ / an à enveloppe revenu constante.</w:t>
      </w:r>
    </w:p>
    <w:p>
      <w:pPr>
        <w:pStyle w:val="ListBullet"/>
      </w:pPr>
      <w:r>
        <w:rPr>
          <w:sz w:val="22"/>
        </w:rPr>
        <w:t>Reco B — Concentrer le budget restant sur le cœur de cible (Népal et Bali et France en Été / Hiver) : uplift estimé ~123 k€ / an pour +15 pts de conversion.</w:t>
      </w:r>
    </w:p>
    <w:p>
      <w:r>
        <w:br w:type="page"/>
      </w:r>
    </w:p>
    <w:p>
      <w:pPr>
        <w:pStyle w:val="Heading1"/>
      </w:pPr>
      <w:r>
        <w:rPr>
          <w:color w:val="0F4C81"/>
        </w:rPr>
        <w:t>1. Contexte et problème métier</w:t>
      </w:r>
    </w:p>
    <w:p>
      <w:r>
        <w:rPr>
          <w:b w:val="0"/>
          <w:i w:val="0"/>
          <w:sz w:val="22"/>
        </w:rPr>
        <w:t>TripSky est une agence de voyages française spécialisée dans les séjours insolites. Elle articule son offre autour de trois piliers expérientiels — aventure, détente, culture — sur une vingtaine de destinations internationales. Son modèle repose sur un panier moyen élevé et une saisonnalité naturelle forte.</w:t>
      </w:r>
    </w:p>
    <w:p>
      <w:r>
        <w:rPr>
          <w:b w:val="0"/>
          <w:i w:val="0"/>
          <w:sz w:val="22"/>
        </w:rPr>
        <w:t>Après deux exercices de croissance modérée, la direction constate un plafonnement des ventes malgré un budget publicitaire en hausse. June, directrice marketing, doit arbitrer pour l'année à venir entre maintenir, augmenter ou redéployer ce budget.</w:t>
      </w:r>
    </w:p>
    <w:p>
      <w:r>
        <w:rPr>
          <w:b/>
          <w:i w:val="0"/>
          <w:sz w:val="22"/>
        </w:rPr>
        <w:t>Question analytique retenue</w:t>
      </w:r>
    </w:p>
    <w:p>
      <w:r>
        <w:rPr>
          <w:b w:val="0"/>
          <w:i/>
          <w:sz w:val="22"/>
        </w:rPr>
        <w:t>« Sur quels segments (destination × saison × type de voyage) concentrer le budget marketing pour maximiser le revenu, et quelle part du budget publicitaire actuel est sous-performante ? »</w:t>
      </w:r>
    </w:p>
    <w:p>
      <w:r>
        <w:rPr>
          <w:b/>
          <w:i w:val="0"/>
          <w:sz w:val="22"/>
        </w:rPr>
        <w:t>Sous-questions analytiques</w:t>
      </w:r>
    </w:p>
    <w:p>
      <w:pPr>
        <w:pStyle w:val="ListBullet"/>
      </w:pPr>
      <w:r>
        <w:rPr>
          <w:sz w:val="22"/>
        </w:rPr>
        <w:t>Quelle est la relation réelle entre dépenses publicitaires et revenu journalier ?</w:t>
      </w:r>
    </w:p>
    <w:p>
      <w:pPr>
        <w:pStyle w:val="ListBullet"/>
      </w:pPr>
      <w:r>
        <w:rPr>
          <w:sz w:val="22"/>
        </w:rPr>
        <w:t>Quels segments génèrent le plus de revenu et de marge ?</w:t>
      </w:r>
    </w:p>
    <w:p>
      <w:pPr>
        <w:pStyle w:val="ListBullet"/>
      </w:pPr>
      <w:r>
        <w:rPr>
          <w:sz w:val="22"/>
        </w:rPr>
        <w:t>Existe-t-il des signaux qualité (notes, réclamations) qui freinent la croissance ?</w:t>
      </w:r>
    </w:p>
    <w:p>
      <w:pPr>
        <w:pStyle w:val="ListBullet"/>
      </w:pPr>
      <w:r>
        <w:rPr>
          <w:sz w:val="22"/>
        </w:rPr>
        <w:t>Quel uplift réaliste peut-on espérer d'une réallocation marketing ?</w:t>
      </w:r>
    </w:p>
    <w:p>
      <w:pPr>
        <w:pStyle w:val="Heading1"/>
      </w:pPr>
      <w:r>
        <w:rPr>
          <w:color w:val="0F4C81"/>
        </w:rPr>
        <w:t>2. Description des données</w:t>
      </w:r>
    </w:p>
    <w:p>
      <w:r>
        <w:rPr>
          <w:b w:val="0"/>
          <w:i w:val="0"/>
          <w:sz w:val="22"/>
        </w:rPr>
        <w:t>Deux jeux de données ont été fournis par les équipes TripSky :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0F4C81"/>
          </w:tcPr>
          <w:p>
            <w:r/>
            <w:r>
              <w:rPr>
                <w:b/>
                <w:color w:val="FFFFFF"/>
                <w:sz w:val="20"/>
              </w:rPr>
              <w:t>Source</w:t>
            </w:r>
          </w:p>
        </w:tc>
        <w:tc>
          <w:tcPr>
            <w:tcW w:type="dxa" w:w="2436"/>
            <w:shd w:fill="0F4C81"/>
          </w:tcPr>
          <w:p>
            <w:r/>
            <w:r>
              <w:rPr>
                <w:b/>
                <w:color w:val="FFFFFF"/>
                <w:sz w:val="20"/>
              </w:rPr>
              <w:t>Granularité</w:t>
            </w:r>
          </w:p>
        </w:tc>
        <w:tc>
          <w:tcPr>
            <w:tcW w:type="dxa" w:w="2436"/>
            <w:shd w:fill="0F4C81"/>
          </w:tcPr>
          <w:p>
            <w:r/>
            <w:r>
              <w:rPr>
                <w:b/>
                <w:color w:val="FFFFFF"/>
                <w:sz w:val="20"/>
              </w:rPr>
              <w:t>Volume initial</w:t>
            </w:r>
          </w:p>
        </w:tc>
        <w:tc>
          <w:tcPr>
            <w:tcW w:type="dxa" w:w="2436"/>
            <w:shd w:fill="0F4C81"/>
          </w:tcPr>
          <w:p>
            <w:r/>
            <w:r>
              <w:rPr>
                <w:b/>
                <w:color w:val="FFFFFF"/>
                <w:sz w:val="20"/>
              </w:rPr>
              <w:t>Variables clés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Clients (CSV)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 ligne / client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~810 lignes brutes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ID client, âge, genre, destination, type voyage, prix, note, dates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Entreprise (CSV)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1 ligne / jour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800 jours consécutifs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Clients du jour, revenu, dépenses pub, réservations</w:t>
            </w:r>
          </w:p>
        </w:tc>
      </w:tr>
    </w:tbl>
    <w:p/>
    <w:p>
      <w:r>
        <w:rPr>
          <w:b w:val="0"/>
          <w:i w:val="0"/>
          <w:sz w:val="22"/>
        </w:rPr>
        <w:t>Le dataset clients couvre toute la période d'activité commerciale ; le dataset entreprise est strictement quotidien, sans trou. Les deux sources partagent la même plage temporelle, ce qui permet des croisements par jour, mois et saison.</w:t>
      </w:r>
    </w:p>
    <w:p>
      <w:r>
        <w:rPr>
          <w:b/>
          <w:i w:val="0"/>
          <w:sz w:val="22"/>
        </w:rPr>
        <w:t>Qualité initiale du dataset clients</w:t>
      </w:r>
    </w:p>
    <w:p>
      <w:pPr>
        <w:pStyle w:val="ListBullet"/>
      </w:pPr>
      <w:r>
        <w:rPr>
          <w:sz w:val="22"/>
        </w:rPr>
        <w:t>Doublons exacts : 4 lignes répétées, plus un ID_Client présent en triple (3 occurrences identiques).</w:t>
      </w:r>
    </w:p>
    <w:p>
      <w:pPr>
        <w:pStyle w:val="ListBullet"/>
      </w:pPr>
      <w:r>
        <w:rPr>
          <w:sz w:val="22"/>
        </w:rPr>
        <w:t>Âges aberrants : 3 valeurs hors-norme (220, 350, 4100 ans) — manifestement des erreurs de saisie.</w:t>
      </w:r>
    </w:p>
    <w:p>
      <w:pPr>
        <w:pStyle w:val="ListBullet"/>
      </w:pPr>
      <w:r>
        <w:rPr>
          <w:sz w:val="22"/>
        </w:rPr>
        <w:t>Valeurs manquantes éparses sur destination, type de voyage, genre, mode de paiement et dates (taux global &lt; 5 %, sans schéma systématique).</w:t>
      </w:r>
    </w:p>
    <w:p>
      <w:pPr>
        <w:pStyle w:val="ListBullet"/>
      </w:pPr>
      <w:r>
        <w:rPr>
          <w:sz w:val="22"/>
        </w:rPr>
        <w:t>Incohérences de casse sur les variables catégorielles (« Culturel » / « culturel », « Aventure » / « aventure »).</w:t>
      </w:r>
    </w:p>
    <w:p>
      <w:pPr>
        <w:pStyle w:val="ListBullet"/>
      </w:pPr>
      <w:r>
        <w:rPr>
          <w:sz w:val="22"/>
        </w:rPr>
        <w:t>Aucun problème majeur sur le dataset entreprise : pas de jour manquant, pas de valeur négative.</w:t>
      </w:r>
    </w:p>
    <w:p>
      <w:pPr>
        <w:pStyle w:val="Heading1"/>
      </w:pPr>
      <w:r>
        <w:rPr>
          <w:color w:val="0F4C81"/>
        </w:rPr>
        <w:t>3. Nettoyage et préparation</w:t>
      </w:r>
    </w:p>
    <w:p>
      <w:r>
        <w:rPr>
          <w:b w:val="0"/>
          <w:i w:val="0"/>
          <w:sz w:val="22"/>
        </w:rPr>
        <w:t>L'objectif a été de produire un dataset prêt à l'analyse sans introduire de biais. Toutes les transformations sont documentées dans le notebook joint.</w:t>
      </w:r>
    </w:p>
    <w:p>
      <w:pPr>
        <w:pStyle w:val="ListBullet"/>
      </w:pPr>
      <w:r>
        <w:rPr>
          <w:sz w:val="22"/>
        </w:rPr>
        <w:t>Suppression des doublons exacts puis dédoublonnage par ID_Client (1ère occurrence conservée).</w:t>
      </w:r>
    </w:p>
    <w:p>
      <w:pPr>
        <w:pStyle w:val="ListBullet"/>
      </w:pPr>
      <w:r>
        <w:rPr>
          <w:sz w:val="22"/>
        </w:rPr>
        <w:t>Normalisation des catégories textuelles : trim des espaces, Title Case homogène.</w:t>
      </w:r>
    </w:p>
    <w:p>
      <w:pPr>
        <w:pStyle w:val="ListBullet"/>
      </w:pPr>
      <w:r>
        <w:rPr>
          <w:sz w:val="22"/>
        </w:rPr>
        <w:t>Âges &gt; 100 ans recodés en valeur manquante (préservation de la ligne, neutralisation de la variable).</w:t>
      </w:r>
    </w:p>
    <w:p>
      <w:pPr>
        <w:pStyle w:val="ListBullet"/>
      </w:pPr>
      <w:r>
        <w:rPr>
          <w:sz w:val="22"/>
        </w:rPr>
        <w:t>Conversion des dates au format ISO (YYYY-MM-DD), création des champs dérivés : tranche d'âge (18-25, 26-35, 36-45, 46-55, 55+), prix par personne, mois et saison du voyage.</w:t>
      </w:r>
    </w:p>
    <w:p>
      <w:pPr>
        <w:pStyle w:val="ListBullet"/>
      </w:pPr>
      <w:r>
        <w:rPr>
          <w:sz w:val="22"/>
        </w:rPr>
        <w:t>Aucun remplissage automatique des valeurs manquantes catégorielles : elles sont conservées comme « Non renseigné » pour éviter toute imputation hasardeuse.</w:t>
      </w:r>
    </w:p>
    <w:p>
      <w:r>
        <w:rPr>
          <w:b/>
          <w:i w:val="0"/>
          <w:sz w:val="22"/>
        </w:rPr>
        <w:t>Résultat</w:t>
      </w:r>
    </w:p>
    <w:p>
      <w:r>
        <w:rPr>
          <w:b w:val="0"/>
          <w:i w:val="0"/>
          <w:sz w:val="22"/>
        </w:rPr>
        <w:t>Le dataset final compte 798 clients uniques exploitables, avec une distribution des variables clés conforme aux attentes métier (panier moyen, répartition par destination, saisonnalité).</w:t>
      </w:r>
    </w:p>
    <w:p>
      <w:r>
        <w:br w:type="page"/>
      </w:r>
    </w:p>
    <w:p>
      <w:pPr>
        <w:pStyle w:val="Heading1"/>
      </w:pPr>
      <w:r>
        <w:rPr>
          <w:color w:val="0F4C81"/>
        </w:rPr>
        <w:t>4. Analyse exploratoire (EDA)</w:t>
      </w:r>
    </w:p>
    <w:p>
      <w:r>
        <w:rPr>
          <w:b w:val="0"/>
          <w:i w:val="0"/>
          <w:sz w:val="22"/>
        </w:rPr>
        <w:t>Cette section présente les visualisations qui ont structuré le raisonnement, avec pour chacune une lecture analytique et la prise d'enseignement métier.</w:t>
      </w:r>
    </w:p>
    <w:p>
      <w:r>
        <w:rPr>
          <w:b/>
          <w:i w:val="0"/>
          <w:sz w:val="22"/>
        </w:rPr>
        <w:t>4.1 Revenu par destination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0005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evenu_par_destina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0005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Figure 1 — Revenu total par destination.</w:t>
      </w:r>
    </w:p>
    <w:p>
      <w:r>
        <w:rPr>
          <w:b w:val="0"/>
          <w:i w:val="0"/>
          <w:sz w:val="22"/>
        </w:rPr>
        <w:t>La distribution est très inégale. La destination en tête, « Népal », génère à elle seule 422 k€. Le top 3 (Népal, Bali, France) capte 32 % du revenu total. La queue de distribution est composée de destinations qui pèsent individuellement moins de 4 % du CA — candidats naturels à une revue d'arbitrage marketing.</w:t>
      </w:r>
    </w:p>
    <w:p>
      <w:r>
        <w:rPr>
          <w:b/>
          <w:i w:val="0"/>
          <w:sz w:val="22"/>
        </w:rPr>
        <w:t>4.2 Revenu par type de voyage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8055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revenu_par_typ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055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Figure 2 — Revenu par type de voyage et panier moyen.</w:t>
      </w:r>
    </w:p>
    <w:p>
      <w:r>
        <w:rPr>
          <w:b w:val="0"/>
          <w:i w:val="0"/>
          <w:sz w:val="22"/>
        </w:rPr>
        <w:t>Le type « Culturel » domine avec 1149 k€ de revenu cumulé. Le panier moyen global est de 4670 €, avec des écarts modérés entre types : Culturel 4786 €, Aventure 4654 €, Détente 4412 €. La différence de revenu vient donc surtout du volume, pas du prix unitaire.</w:t>
      </w:r>
    </w:p>
    <w:p>
      <w:r>
        <w:rPr>
          <w:b/>
          <w:i w:val="0"/>
          <w:sz w:val="22"/>
        </w:rPr>
        <w:t>4.3 Saisonnalité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8522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sai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5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Figure 3 — Revenu par saison.</w:t>
      </w:r>
    </w:p>
    <w:p>
      <w:r>
        <w:rPr>
          <w:b w:val="0"/>
          <w:i w:val="0"/>
          <w:sz w:val="22"/>
        </w:rPr>
        <w:t>La saison « Été » génère 1327 k€, soit +54 % par rapport à « Printemps ». Ce différentiel justifie un calendrier marketing modulé : pousser à la conversion en haute saison, travailler la notoriété et la pré-réservation en basse saison.</w:t>
      </w:r>
    </w:p>
    <w:p>
      <w:r>
        <w:rPr>
          <w:b/>
          <w:i w:val="0"/>
          <w:sz w:val="22"/>
        </w:rPr>
        <w:t>4.4 Profil démographique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8522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5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Figure 4 — Distribution des clients par tranche d'âge.</w:t>
      </w:r>
    </w:p>
    <w:p>
      <w:r>
        <w:rPr>
          <w:b w:val="0"/>
          <w:i w:val="0"/>
          <w:sz w:val="22"/>
        </w:rPr>
        <w:t>Les tranches 26-35 et 36-45 concentrent la majorité de la clientèle. Les segments 18-25 et 55+ sont sous-représentés — opportunité de test sur des angles créatifs spécifiques (étudiants/jeunes actifs ; seniors actifs).</w:t>
      </w:r>
    </w:p>
    <w:p>
      <w:r>
        <w:rPr>
          <w:b/>
          <w:i w:val="0"/>
          <w:sz w:val="22"/>
        </w:rPr>
        <w:t>4.5 Satisfaction client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7588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evaluation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758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Figure 5 — Distribution des notes clients.</w:t>
      </w:r>
    </w:p>
    <w:p>
      <w:r>
        <w:rPr>
          <w:b w:val="0"/>
          <w:i w:val="0"/>
          <w:sz w:val="22"/>
        </w:rPr>
        <w:t>La distribution est asymétrique vers le bas : moyenne 2.48/5 et 52 % des clients à ≤ 2/5. Pour une marque qui vend de l'expérience, ce niveau est un facteur d'érosion silencieuse — il pèse sur le bouche-à-oreille et la réservation répétée.</w:t>
      </w:r>
    </w:p>
    <w:p>
      <w:r>
        <w:rPr>
          <w:b/>
          <w:i w:val="0"/>
          <w:sz w:val="22"/>
        </w:rPr>
        <w:t>4.6 Modes de paiement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5426603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paiemen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4266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Figure 6 — Répartition des modes de paiement.</w:t>
      </w:r>
    </w:p>
    <w:p>
      <w:r>
        <w:rPr>
          <w:b w:val="0"/>
          <w:i w:val="0"/>
          <w:sz w:val="22"/>
        </w:rPr>
        <w:t>Aucun déséquilibre critique sur les modes de paiement. Information utile pour le tunnel de conversion mais sans impact direct sur les recommandations stratégiques.</w:t>
      </w:r>
    </w:p>
    <w:p>
      <w:r>
        <w:rPr>
          <w:b/>
          <w:i w:val="0"/>
          <w:sz w:val="22"/>
        </w:rPr>
        <w:t>4.7 Évolution mensuelle revenu / publicité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2692985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evenu_pub_mensue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9298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Figure 7 — Revenu et dépenses publicitaires par mois.</w:t>
      </w:r>
    </w:p>
    <w:p>
      <w:r>
        <w:rPr>
          <w:b w:val="0"/>
          <w:i w:val="0"/>
          <w:sz w:val="22"/>
        </w:rPr>
        <w:t>On observe que les hausses de dépenses pub ne sont pas systématiquement suivies d'une hausse de revenu — le couplage temporel est faible. Le chiffre d'affaires suit principalement le rythme saisonnier, peu sensible aux variations mensuelles de budget marketing.</w:t>
      </w:r>
    </w:p>
    <w:p>
      <w:r>
        <w:rPr>
          <w:b/>
          <w:i w:val="0"/>
          <w:sz w:val="22"/>
        </w:rPr>
        <w:t>4.8 Corrélation publicité / revenu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4080948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correlation_pub_revenu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8094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Figure 8 — Nuage de points dépenses publicitaires / revenu journalier.</w:t>
      </w:r>
    </w:p>
    <w:p>
      <w:r>
        <w:rPr>
          <w:b w:val="0"/>
          <w:i w:val="0"/>
          <w:sz w:val="22"/>
        </w:rPr>
        <w:t>Le coefficient de corrélation linéaire est r = -0.04, quasi nul. Visuellement, le nuage est diffus et la droite de tendance est plate. À l'inverse, la corrélation pub/réservations (r = 0.93) est très forte — la pub déclenche bien des réservations, mais sur des paniers plus faibles ou moins rentables. Le problème est donc un problème de ciblage, pas de volume.</w:t>
      </w:r>
    </w:p>
    <w:p>
      <w:r>
        <w:rPr>
          <w:b/>
          <w:i w:val="0"/>
          <w:sz w:val="22"/>
        </w:rPr>
        <w:t>4.9 Saisonnalité hebdomadaire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38522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jour_semain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38522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Figure 9 — Revenu moyen par jour de la semaine.</w:t>
      </w:r>
    </w:p>
    <w:p>
      <w:r>
        <w:rPr>
          <w:b w:val="0"/>
          <w:i w:val="0"/>
          <w:sz w:val="22"/>
        </w:rPr>
        <w:t>Les pics de revenu sont décalés par rapport aux pics de dépenses pub — autre indice que l'allocation hebdomadaire actuelle n'est pas optimale.</w:t>
      </w:r>
    </w:p>
    <w:p>
      <w:r>
        <w:br w:type="page"/>
      </w:r>
    </w:p>
    <w:p>
      <w:pPr>
        <w:pStyle w:val="Heading1"/>
      </w:pPr>
      <w:r>
        <w:rPr>
          <w:color w:val="0F4C81"/>
        </w:rPr>
        <w:t>5. Insights principaux</w:t>
      </w:r>
    </w:p>
    <w:p>
      <w:r>
        <w:rPr>
          <w:b/>
          <w:i w:val="0"/>
          <w:sz w:val="22"/>
        </w:rPr>
        <w:t>Constat 1 — Le revenu se concentre sur quelques destinations et deux saisons.</w:t>
      </w:r>
    </w:p>
    <w:p>
      <w:r>
        <w:rPr>
          <w:b w:val="0"/>
          <w:i w:val="0"/>
          <w:sz w:val="22"/>
        </w:rPr>
        <w:t>Le top 3 des destinations (Népal, Bali, France) représente 32 % du revenu. Combiné aux deux meilleures saisons (Été et Hiver), le cœur de cible (top destinations × top saisons) pèse 22 % du chiffre d'affaires sur une fraction nettement plus faible des clients. C'est le segment à plus haute densité de revenu, donc le segment où chaque euro investi a le rendement marginal le plus élevé.</w:t>
      </w:r>
    </w:p>
    <w:p>
      <w:r>
        <w:rPr>
          <w:b/>
          <w:i w:val="0"/>
          <w:sz w:val="22"/>
        </w:rPr>
        <w:t>Constat 2 — La publicité actuelle n'achète pas de revenu supplémentaire.</w:t>
      </w:r>
    </w:p>
    <w:p>
      <w:r>
        <w:rPr>
          <w:b w:val="0"/>
          <w:i w:val="0"/>
          <w:sz w:val="22"/>
        </w:rPr>
        <w:t>Sur 800 jours, la corrélation entre dépenses publicitaires et revenu est r = -0.04. En segmentant les jours par quintile de dépense pub, le top 20 % (« jours forts pub ») rend 0.68 € de revenu par € pub, contre 1.02 € sur les autres jours. Autrement dit, les journées où l'on dépense le plus génèrent **moins** d'euros par euro investi : la pub touche des audiences à faible valeur. C'est un problème de ciblage et d'allocation, pas un problème de budget global.</w:t>
      </w:r>
    </w:p>
    <w:p>
      <w:r>
        <w:rPr>
          <w:b/>
          <w:i w:val="0"/>
          <w:sz w:val="22"/>
        </w:rPr>
        <w:t>Constat 3 — La satisfaction est un point de vigilance stratégique.</w:t>
      </w:r>
    </w:p>
    <w:p>
      <w:r>
        <w:rPr>
          <w:b w:val="0"/>
          <w:i w:val="0"/>
          <w:sz w:val="22"/>
        </w:rPr>
        <w:t>Note moyenne 2.48/5 ; 52 % des clients donnent une note ≤ 2/5. Pour une marque qui vend de l'expérience, ce niveau pèse directement sur le ré-achat, le NPS et la conversion organique. Toute hausse marketing efficace doit s'appuyer sur une amélioration de l'expérience livrée, sinon elle finance une hausse de notoriété sans hausse de conversion durable.</w:t>
      </w:r>
    </w:p>
    <w:p>
      <w:pPr>
        <w:pStyle w:val="Heading1"/>
      </w:pPr>
      <w:r>
        <w:rPr>
          <w:color w:val="0F4C81"/>
        </w:rPr>
        <w:t>6. Visualisation explicative et recommandations chiffrées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486400" cy="3403203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heatmap_recommandation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40320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  <w:color w:val="7F8C8D"/>
          <w:sz w:val="18"/>
        </w:rPr>
        <w:t>Figure 10 — Matrice destination × saison, en k€ de revenu.</w:t>
      </w:r>
    </w:p>
    <w:p>
      <w:r>
        <w:rPr>
          <w:b w:val="0"/>
          <w:i w:val="0"/>
          <w:sz w:val="22"/>
        </w:rPr>
        <w:t>Cette matrice résume visuellement les deux constats principaux : les cellules les plus sombres se concentrent sur 3 destinations et 2 saisons. C'est la base de la Recommandation B.</w:t>
      </w:r>
    </w:p>
    <w:p>
      <w:r>
        <w:rPr>
          <w:b/>
          <w:i w:val="0"/>
          <w:sz w:val="22"/>
        </w:rPr>
        <w:t>Recommandation A — Couper 30 % des dépenses publicitaires les moins efficaces.</w:t>
      </w:r>
    </w:p>
    <w:p>
      <w:r>
        <w:rPr>
          <w:b w:val="0"/>
          <w:i w:val="0"/>
          <w:sz w:val="22"/>
        </w:rPr>
        <w:t>Hypothèse : sur les 20 % de jours à plus haut budget pub, le rendement est de 0.68 € par € contre 1.02 € sur les autres jours. En coupant 30 % des dépenses de cette tranche basse-rentabilité, on libère ~153 k€ / an à enveloppe revenu constante. Ce budget est réinvestissable dans la Reco B et dans le CRM.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F4C81"/>
          </w:tcPr>
          <w:p>
            <w:r/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4873"/>
            <w:shd w:fill="0F4C81"/>
          </w:tcPr>
          <w:p>
            <w:r/>
            <w:r>
              <w:rPr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Dépense pub annuelle actuelle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~4.01 M€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Quintile sous-performant (top 20 % budget)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0.68 € revenu / € pub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Reste de la période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1.02 € revenu / € pub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Coupe proposée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30 % de la tranche sous-performante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Économie annuelle estimée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~153 k€</w:t>
            </w:r>
          </w:p>
        </w:tc>
      </w:tr>
    </w:tbl>
    <w:p/>
    <w:p>
      <w:r>
        <w:rPr>
          <w:b/>
          <w:i w:val="0"/>
          <w:sz w:val="22"/>
        </w:rPr>
        <w:t>Recommandation B — Concentrer les campagnes sur le cœur de cible.</w:t>
      </w:r>
    </w:p>
    <w:p>
      <w:r>
        <w:rPr>
          <w:b w:val="0"/>
          <w:i w:val="0"/>
          <w:sz w:val="22"/>
        </w:rPr>
        <w:t>Cibler Népal, Bali, France en Été et Hiver : ce segment pèse déjà 22 % du revenu. En réinvestissant l'économie de la Reco A sur des campagnes resserrées (audiences sosies des clients existants de ces segments, créa spécifique par destination, fenêtre haute saison), une hausse de conversion de +15 % sur ce cœur représente un uplift annuel d'environ 123 k€.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  <w:shd w:fill="0F4C81"/>
          </w:tcPr>
          <w:p>
            <w:r/>
            <w:r>
              <w:rPr>
                <w:b/>
                <w:color w:val="FFFFFF"/>
                <w:sz w:val="20"/>
              </w:rPr>
              <w:t>Élément</w:t>
            </w:r>
          </w:p>
        </w:tc>
        <w:tc>
          <w:tcPr>
            <w:tcW w:type="dxa" w:w="4873"/>
            <w:shd w:fill="0F4C81"/>
          </w:tcPr>
          <w:p>
            <w:r/>
            <w:r>
              <w:rPr>
                <w:b/>
                <w:color w:val="FFFFFF"/>
                <w:sz w:val="20"/>
              </w:rPr>
              <w:t>Valeur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Cœur de cible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Népal, Bali, France × Été / Hiver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Part actuelle du revenu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22 %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Hypothèse de conversion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+15 pts sur le cœur de cible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Uplift annuel estimé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~123 k€</w:t>
            </w:r>
          </w:p>
        </w:tc>
      </w:tr>
      <w:tr>
        <w:tc>
          <w:tcPr>
            <w:tcW w:type="dxa" w:w="4873"/>
          </w:tcPr>
          <w:p>
            <w:r/>
            <w:r>
              <w:rPr>
                <w:sz w:val="20"/>
              </w:rPr>
              <w:t>Effet combiné Reco A + B</w:t>
            </w:r>
          </w:p>
        </w:tc>
        <w:tc>
          <w:tcPr>
            <w:tcW w:type="dxa" w:w="4873"/>
          </w:tcPr>
          <w:p>
            <w:r/>
            <w:r>
              <w:rPr>
                <w:sz w:val="20"/>
              </w:rPr>
              <w:t>~276 k€ / an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color w:val="0F4C81"/>
        </w:rPr>
        <w:t>7. Plan d'action et indicateurs de suivi</w:t>
      </w:r>
    </w:p>
    <w:p>
      <w:r>
        <w:rPr>
          <w:b w:val="0"/>
          <w:i w:val="0"/>
          <w:sz w:val="22"/>
        </w:rPr>
        <w:t>La mise en œuvre proposée tient sur un trimestre, en trois jalons. L'objectif est de tester la réallocation à petite échelle avant de la généraliser.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  <w:shd w:fill="0F4C81"/>
          </w:tcPr>
          <w:p>
            <w:r/>
            <w:r>
              <w:rPr>
                <w:b/>
                <w:color w:val="FFFFFF"/>
                <w:sz w:val="20"/>
              </w:rPr>
              <w:t>Jalon</w:t>
            </w:r>
          </w:p>
        </w:tc>
        <w:tc>
          <w:tcPr>
            <w:tcW w:type="dxa" w:w="2436"/>
            <w:shd w:fill="0F4C81"/>
          </w:tcPr>
          <w:p>
            <w:r/>
            <w:r>
              <w:rPr>
                <w:b/>
                <w:color w:val="FFFFFF"/>
                <w:sz w:val="20"/>
              </w:rPr>
              <w:t>Échéance</w:t>
            </w:r>
          </w:p>
        </w:tc>
        <w:tc>
          <w:tcPr>
            <w:tcW w:type="dxa" w:w="2436"/>
            <w:shd w:fill="0F4C81"/>
          </w:tcPr>
          <w:p>
            <w:r/>
            <w:r>
              <w:rPr>
                <w:b/>
                <w:color w:val="FFFFFF"/>
                <w:sz w:val="20"/>
              </w:rPr>
              <w:t>Actions</w:t>
            </w:r>
          </w:p>
        </w:tc>
        <w:tc>
          <w:tcPr>
            <w:tcW w:type="dxa" w:w="2436"/>
            <w:shd w:fill="0F4C81"/>
          </w:tcPr>
          <w:p>
            <w:r/>
            <w:r>
              <w:rPr>
                <w:b/>
                <w:color w:val="FFFFFF"/>
                <w:sz w:val="20"/>
              </w:rPr>
              <w:t>Responsable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Audit &amp; cadrage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Mois 1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Auditer les 20 % de jours à plus fort budget ; identifier les campagnes &amp; canaux concernés ; définir les segments cœur de cible en CRM.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Marketing + Data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Test de réallocation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Mois 2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Couper 30 % de la dépense sur la tranche sous-performante ; réallouer 50 % de l'économie en campagnes ciblées cœur de cible ; mesurer en A/B sur 4 semaines.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Marketing</w:t>
            </w:r>
          </w:p>
        </w:tc>
      </w:tr>
      <w:tr>
        <w:tc>
          <w:tcPr>
            <w:tcW w:type="dxa" w:w="2436"/>
          </w:tcPr>
          <w:p>
            <w:r/>
            <w:r>
              <w:rPr>
                <w:sz w:val="20"/>
              </w:rPr>
              <w:t>Décision &amp; passage à l'échelle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Mois 3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Décision Go/No-Go selon les KPI ; généralisation ou ajustement ; intégration au plan annuel.</w:t>
            </w:r>
          </w:p>
        </w:tc>
        <w:tc>
          <w:tcPr>
            <w:tcW w:type="dxa" w:w="2436"/>
          </w:tcPr>
          <w:p>
            <w:r/>
            <w:r>
              <w:rPr>
                <w:sz w:val="20"/>
              </w:rPr>
              <w:t>Direction Marketing</w:t>
            </w:r>
          </w:p>
        </w:tc>
      </w:tr>
    </w:tbl>
    <w:p/>
    <w:p>
      <w:r>
        <w:rPr>
          <w:b/>
          <w:i w:val="0"/>
          <w:sz w:val="22"/>
        </w:rPr>
        <w:t>Indicateurs de suivi recommandés</w:t>
      </w:r>
    </w:p>
    <w:p>
      <w:pPr>
        <w:pStyle w:val="ListBullet"/>
      </w:pPr>
      <w:r>
        <w:rPr>
          <w:sz w:val="22"/>
        </w:rPr>
        <w:t>Revenu par euro publicitaire (€ revenu / € pub), suivi hebdomadaire.</w:t>
      </w:r>
    </w:p>
    <w:p>
      <w:pPr>
        <w:pStyle w:val="ListBullet"/>
      </w:pPr>
      <w:r>
        <w:rPr>
          <w:sz w:val="22"/>
        </w:rPr>
        <w:t>Part de revenu provenant du cœur de cible (objectif : +5 pts en 6 mois).</w:t>
      </w:r>
    </w:p>
    <w:p>
      <w:pPr>
        <w:pStyle w:val="ListBullet"/>
      </w:pPr>
      <w:r>
        <w:rPr>
          <w:sz w:val="22"/>
        </w:rPr>
        <w:t>Taux de conversion par destination prioritaire (cible : +15 % sur le cœur).</w:t>
      </w:r>
    </w:p>
    <w:p>
      <w:pPr>
        <w:pStyle w:val="ListBullet"/>
      </w:pPr>
      <w:r>
        <w:rPr>
          <w:sz w:val="22"/>
        </w:rPr>
        <w:t>Note moyenne client (cible : &gt; 3,5/5 sous 12 mois) et % de notes ≤ 2/5 (cible : &lt; 30 %).</w:t>
      </w:r>
    </w:p>
    <w:p>
      <w:pPr>
        <w:pStyle w:val="ListBullet"/>
      </w:pPr>
      <w:r>
        <w:rPr>
          <w:sz w:val="22"/>
        </w:rPr>
        <w:t>Coût d'acquisition par segment, une fois la donnée de campagne disponible.</w:t>
      </w:r>
    </w:p>
    <w:p>
      <w:pPr>
        <w:pStyle w:val="Heading1"/>
      </w:pPr>
      <w:r>
        <w:rPr>
          <w:color w:val="0F4C81"/>
        </w:rPr>
        <w:t>8. Limites et prochaines étapes</w:t>
      </w:r>
    </w:p>
    <w:p>
      <w:r>
        <w:rPr>
          <w:b/>
          <w:i w:val="0"/>
          <w:sz w:val="22"/>
        </w:rPr>
        <w:t>Limites de l'analyse</w:t>
      </w:r>
    </w:p>
    <w:p>
      <w:pPr>
        <w:pStyle w:val="ListBullet"/>
      </w:pPr>
      <w:r>
        <w:rPr>
          <w:sz w:val="22"/>
        </w:rPr>
        <w:t>Volume modeste : ~798 clients et 800 jours ne permettent pas une analyse fine par micro-segment (ex. destination × tranche d'âge × type).</w:t>
      </w:r>
    </w:p>
    <w:p>
      <w:pPr>
        <w:pStyle w:val="ListBullet"/>
      </w:pPr>
      <w:r>
        <w:rPr>
          <w:sz w:val="22"/>
        </w:rPr>
        <w:t>Absence d'identifiant de campagne publicitaire : impossible d'attribuer le revenu à un canal ou à une créa spécifique. L'analyse pub se fait au niveau journalier agrégé.</w:t>
      </w:r>
    </w:p>
    <w:p>
      <w:pPr>
        <w:pStyle w:val="ListBullet"/>
      </w:pPr>
      <w:r>
        <w:rPr>
          <w:sz w:val="22"/>
        </w:rPr>
        <w:t>Absence de coût d'acquisition par client : les économies estimées le sont à enveloppe revenu constante, sans modélisation contrefactuelle.</w:t>
      </w:r>
    </w:p>
    <w:p>
      <w:pPr>
        <w:pStyle w:val="ListBullet"/>
      </w:pPr>
      <w:r>
        <w:rPr>
          <w:sz w:val="22"/>
        </w:rPr>
        <w:t>Valeurs manquantes catégorielles (destination, type) non imputées : les segments sous-représentés peuvent être légèrement sous-estimés.</w:t>
      </w:r>
    </w:p>
    <w:p>
      <w:pPr>
        <w:pStyle w:val="ListBullet"/>
      </w:pPr>
      <w:r>
        <w:rPr>
          <w:sz w:val="22"/>
        </w:rPr>
        <w:t>La note client est mono-dimensionnelle : sans verbatim, on ne peut pas distinguer un problème de produit, de logistique ou de promesse marketing.</w:t>
      </w:r>
    </w:p>
    <w:p>
      <w:r>
        <w:rPr>
          <w:b/>
          <w:i w:val="0"/>
          <w:sz w:val="22"/>
        </w:rPr>
        <w:t>Prochaines étapes proposées</w:t>
      </w:r>
    </w:p>
    <w:p>
      <w:pPr>
        <w:pStyle w:val="ListBullet"/>
      </w:pPr>
      <w:r>
        <w:rPr>
          <w:sz w:val="22"/>
        </w:rPr>
        <w:t>Brancher un identifiant de campagne et un coût d'acquisition par canal pour permettre une attribution réelle (post-Reco A).</w:t>
      </w:r>
    </w:p>
    <w:p>
      <w:pPr>
        <w:pStyle w:val="ListBullet"/>
      </w:pPr>
      <w:r>
        <w:rPr>
          <w:sz w:val="22"/>
        </w:rPr>
        <w:t>Collecter des verbatims clients (1 question ouverte dans le questionnaire de fin de voyage) pour qualifier les notes ≤ 2/5.</w:t>
      </w:r>
    </w:p>
    <w:p>
      <w:pPr>
        <w:pStyle w:val="ListBullet"/>
      </w:pPr>
      <w:r>
        <w:rPr>
          <w:sz w:val="22"/>
        </w:rPr>
        <w:t>Construire un modèle simple de scoring « valeur client » pour cibler les audiences sosies en acquisition.</w:t>
      </w:r>
    </w:p>
    <w:p>
      <w:pPr>
        <w:pStyle w:val="ListBullet"/>
      </w:pPr>
      <w:r>
        <w:rPr>
          <w:sz w:val="22"/>
        </w:rPr>
        <w:t>Refaire l'analyse à 12 mois pour mesurer l'impact réel des Reco A et B.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