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6652D" w14:textId="77777777" w:rsidR="00FD29CF" w:rsidRDefault="00FD29CF" w:rsidP="00FD29CF">
      <w:pPr>
        <w:bidi/>
        <w:jc w:val="right"/>
      </w:pPr>
    </w:p>
    <w:p w14:paraId="598D6A0C" w14:textId="77777777" w:rsidR="00FD29CF" w:rsidRDefault="00FD29CF" w:rsidP="00FD29CF">
      <w:pPr>
        <w:bidi/>
        <w:jc w:val="right"/>
      </w:pPr>
    </w:p>
    <w:p w14:paraId="1F87E5BE" w14:textId="77777777" w:rsidR="0051670B" w:rsidRPr="0051670B" w:rsidRDefault="00FD29CF" w:rsidP="0051670B">
      <w:pPr>
        <w:bidi/>
        <w:spacing w:line="240" w:lineRule="auto"/>
        <w:jc w:val="right"/>
        <w:rPr>
          <w:rFonts w:asciiTheme="majorBidi" w:hAnsiTheme="majorBidi"/>
          <w:b/>
          <w:bCs/>
          <w:lang w:val="fr-FR"/>
        </w:rPr>
      </w:pPr>
      <w:r>
        <w:rPr>
          <w:noProof/>
        </w:rPr>
        <w:drawing>
          <wp:anchor distT="0" distB="0" distL="114300" distR="114300" simplePos="0" relativeHeight="251661312" behindDoc="0" locked="0" layoutInCell="1" allowOverlap="1" wp14:anchorId="21734571" wp14:editId="3BDA0FB6">
            <wp:simplePos x="914400" y="914400"/>
            <wp:positionH relativeFrom="column">
              <wp:align>left</wp:align>
            </wp:positionH>
            <wp:positionV relativeFrom="paragraph">
              <wp:align>top</wp:align>
            </wp:positionV>
            <wp:extent cx="5943600" cy="4455795"/>
            <wp:effectExtent l="0" t="0" r="0" b="1905"/>
            <wp:wrapSquare wrapText="bothSides"/>
            <wp:docPr id="1817276830" name="Picture 1" descr="A graph of different sizes and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76830" name="Picture 1" descr="A graph of different sizes and colo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5795"/>
                    </a:xfrm>
                    <a:prstGeom prst="rect">
                      <a:avLst/>
                    </a:prstGeom>
                    <a:noFill/>
                    <a:ln>
                      <a:noFill/>
                    </a:ln>
                  </pic:spPr>
                </pic:pic>
              </a:graphicData>
            </a:graphic>
          </wp:anchor>
        </w:drawing>
      </w:r>
      <w:r w:rsidRPr="0051670B">
        <w:rPr>
          <w:lang w:val="fr-FR"/>
        </w:rPr>
        <w:br w:type="textWrapping" w:clear="all"/>
      </w:r>
      <w:r w:rsidR="0051670B" w:rsidRPr="0051670B">
        <w:rPr>
          <w:rFonts w:asciiTheme="majorBidi" w:hAnsiTheme="majorBidi"/>
          <w:b/>
          <w:bCs/>
          <w:lang w:val="fr-FR"/>
        </w:rPr>
        <w:t>Analyse variable par variable – Distribution statistique</w:t>
      </w:r>
    </w:p>
    <w:p w14:paraId="3B856345" w14:textId="77777777" w:rsidR="0051670B" w:rsidRPr="0051670B" w:rsidRDefault="0051670B" w:rsidP="0051670B">
      <w:pPr>
        <w:bidi/>
        <w:spacing w:line="240" w:lineRule="auto"/>
        <w:jc w:val="right"/>
        <w:rPr>
          <w:rFonts w:asciiTheme="majorBidi" w:hAnsiTheme="majorBidi" w:cstheme="majorBidi"/>
          <w:lang w:val="fr-FR"/>
        </w:rPr>
      </w:pPr>
      <w:r w:rsidRPr="0051670B">
        <w:rPr>
          <w:rFonts w:asciiTheme="majorBidi" w:hAnsiTheme="majorBidi" w:cstheme="majorBidi"/>
          <w:lang w:val="fr-FR"/>
        </w:rPr>
        <w:t>L’analyse de la distribution des variables met en évidence des comportements statistiques différents selon les indicateurs cliniques. Voici une description détaillée variable par variable :</w:t>
      </w:r>
    </w:p>
    <w:p w14:paraId="073E1F38" w14:textId="77777777" w:rsidR="0051670B" w:rsidRPr="0051670B" w:rsidRDefault="0051670B" w:rsidP="0051670B">
      <w:pPr>
        <w:bidi/>
        <w:spacing w:line="240" w:lineRule="auto"/>
        <w:jc w:val="right"/>
        <w:rPr>
          <w:rFonts w:asciiTheme="majorBidi" w:hAnsiTheme="majorBidi" w:cstheme="majorBidi"/>
          <w:lang w:val="fr-FR"/>
        </w:rPr>
      </w:pPr>
      <w:r w:rsidRPr="0051670B">
        <w:rPr>
          <w:rFonts w:asciiTheme="majorBidi" w:hAnsiTheme="majorBidi" w:cstheme="majorBidi"/>
          <w:b/>
          <w:bCs/>
          <w:lang w:val="fr-FR"/>
        </w:rPr>
        <w:t xml:space="preserve">1. </w:t>
      </w:r>
      <w:proofErr w:type="spellStart"/>
      <w:r w:rsidRPr="0051670B">
        <w:rPr>
          <w:rFonts w:asciiTheme="majorBidi" w:hAnsiTheme="majorBidi" w:cstheme="majorBidi"/>
          <w:b/>
          <w:bCs/>
          <w:lang w:val="fr-FR"/>
        </w:rPr>
        <w:t>Pregnancies</w:t>
      </w:r>
      <w:proofErr w:type="spellEnd"/>
      <w:r w:rsidRPr="0051670B">
        <w:rPr>
          <w:rFonts w:asciiTheme="majorBidi" w:hAnsiTheme="majorBidi" w:cstheme="majorBidi"/>
          <w:b/>
          <w:bCs/>
          <w:lang w:val="fr-FR"/>
        </w:rPr>
        <w:t xml:space="preserve"> (Nombre de grossesses)</w:t>
      </w:r>
      <w:r w:rsidRPr="0051670B">
        <w:rPr>
          <w:rFonts w:asciiTheme="majorBidi" w:hAnsiTheme="majorBidi" w:cstheme="majorBidi"/>
          <w:lang w:val="fr-FR"/>
        </w:rPr>
        <w:br/>
        <w:t>La distribution est asymétrique à droite, ce qui signifie que la majorité des patientes ont un nombre relativement faible de grossesses. La plupart se situent entre 0 et 5 grossesses. Toutefois, quelques cas exceptionnels atteignent plus de 15 grossesses, ce qui constitue des valeurs extrêmes.</w:t>
      </w:r>
    </w:p>
    <w:p w14:paraId="75404FF4" w14:textId="77777777" w:rsidR="0051670B" w:rsidRPr="0051670B" w:rsidRDefault="0051670B" w:rsidP="0051670B">
      <w:pPr>
        <w:bidi/>
        <w:spacing w:line="240" w:lineRule="auto"/>
        <w:jc w:val="right"/>
        <w:rPr>
          <w:rFonts w:asciiTheme="majorBidi" w:hAnsiTheme="majorBidi" w:cstheme="majorBidi"/>
          <w:lang w:val="fr-FR"/>
        </w:rPr>
      </w:pPr>
      <w:r w:rsidRPr="0051670B">
        <w:rPr>
          <w:rFonts w:asciiTheme="majorBidi" w:hAnsiTheme="majorBidi" w:cstheme="majorBidi"/>
          <w:b/>
          <w:bCs/>
          <w:lang w:val="fr-FR"/>
        </w:rPr>
        <w:t>2. Glucose (Taux de glucose)</w:t>
      </w:r>
      <w:r w:rsidRPr="0051670B">
        <w:rPr>
          <w:rFonts w:asciiTheme="majorBidi" w:hAnsiTheme="majorBidi" w:cstheme="majorBidi"/>
          <w:lang w:val="fr-FR"/>
        </w:rPr>
        <w:br/>
        <w:t>La distribution présente une forme de cloche, légèrement asymétrique. On observe une concentration des données entre 100 et 125 mg/</w:t>
      </w:r>
      <w:proofErr w:type="spellStart"/>
      <w:r w:rsidRPr="0051670B">
        <w:rPr>
          <w:rFonts w:asciiTheme="majorBidi" w:hAnsiTheme="majorBidi" w:cstheme="majorBidi"/>
          <w:lang w:val="fr-FR"/>
        </w:rPr>
        <w:t>dL</w:t>
      </w:r>
      <w:proofErr w:type="spellEnd"/>
      <w:r w:rsidRPr="0051670B">
        <w:rPr>
          <w:rFonts w:asciiTheme="majorBidi" w:hAnsiTheme="majorBidi" w:cstheme="majorBidi"/>
          <w:lang w:val="fr-FR"/>
        </w:rPr>
        <w:t xml:space="preserve">, plage qui correspond à une zone de </w:t>
      </w:r>
      <w:proofErr w:type="spellStart"/>
      <w:r w:rsidRPr="0051670B">
        <w:rPr>
          <w:rFonts w:asciiTheme="majorBidi" w:hAnsiTheme="majorBidi" w:cstheme="majorBidi"/>
          <w:lang w:val="fr-FR"/>
        </w:rPr>
        <w:t>pré-diabète</w:t>
      </w:r>
      <w:proofErr w:type="spellEnd"/>
      <w:r w:rsidRPr="0051670B">
        <w:rPr>
          <w:rFonts w:asciiTheme="majorBidi" w:hAnsiTheme="majorBidi" w:cstheme="majorBidi"/>
          <w:lang w:val="fr-FR"/>
        </w:rPr>
        <w:t xml:space="preserve"> selon les standards médicaux. Certaines valeurs très basses, proches de 0, sont médicalement improbables et suggèrent des erreurs de saisie ou des valeurs manquantes codées par 0.</w:t>
      </w:r>
    </w:p>
    <w:p w14:paraId="3F482EB7" w14:textId="77777777" w:rsidR="0051670B" w:rsidRPr="0051670B" w:rsidRDefault="0051670B" w:rsidP="0051670B">
      <w:pPr>
        <w:bidi/>
        <w:spacing w:line="240" w:lineRule="auto"/>
        <w:jc w:val="right"/>
        <w:rPr>
          <w:rFonts w:asciiTheme="majorBidi" w:hAnsiTheme="majorBidi" w:cstheme="majorBidi"/>
          <w:lang w:val="fr-FR"/>
        </w:rPr>
      </w:pPr>
      <w:r w:rsidRPr="0051670B">
        <w:rPr>
          <w:rFonts w:asciiTheme="majorBidi" w:hAnsiTheme="majorBidi" w:cstheme="majorBidi"/>
          <w:b/>
          <w:bCs/>
          <w:lang w:val="fr-FR"/>
        </w:rPr>
        <w:lastRenderedPageBreak/>
        <w:t xml:space="preserve">3. </w:t>
      </w:r>
      <w:proofErr w:type="spellStart"/>
      <w:r w:rsidRPr="0051670B">
        <w:rPr>
          <w:rFonts w:asciiTheme="majorBidi" w:hAnsiTheme="majorBidi" w:cstheme="majorBidi"/>
          <w:b/>
          <w:bCs/>
          <w:lang w:val="fr-FR"/>
        </w:rPr>
        <w:t>BloodPressure</w:t>
      </w:r>
      <w:proofErr w:type="spellEnd"/>
      <w:r w:rsidRPr="0051670B">
        <w:rPr>
          <w:rFonts w:asciiTheme="majorBidi" w:hAnsiTheme="majorBidi" w:cstheme="majorBidi"/>
          <w:b/>
          <w:bCs/>
          <w:lang w:val="fr-FR"/>
        </w:rPr>
        <w:t xml:space="preserve"> (Pression artérielle)</w:t>
      </w:r>
      <w:r w:rsidRPr="0051670B">
        <w:rPr>
          <w:rFonts w:asciiTheme="majorBidi" w:hAnsiTheme="majorBidi" w:cstheme="majorBidi"/>
          <w:lang w:val="fr-FR"/>
        </w:rPr>
        <w:br/>
        <w:t xml:space="preserve">La distribution est assez proche d’une loi normale (distribution gaussienne), centrée autour de 70 à 80 </w:t>
      </w:r>
      <w:proofErr w:type="spellStart"/>
      <w:r w:rsidRPr="0051670B">
        <w:rPr>
          <w:rFonts w:asciiTheme="majorBidi" w:hAnsiTheme="majorBidi" w:cstheme="majorBidi"/>
          <w:lang w:val="fr-FR"/>
        </w:rPr>
        <w:t>mmHg</w:t>
      </w:r>
      <w:proofErr w:type="spellEnd"/>
      <w:r w:rsidRPr="0051670B">
        <w:rPr>
          <w:rFonts w:asciiTheme="majorBidi" w:hAnsiTheme="majorBidi" w:cstheme="majorBidi"/>
          <w:lang w:val="fr-FR"/>
        </w:rPr>
        <w:t>, ce qui correspond aux normes physiologiques attendues. Néanmoins, quelques valeurs proches de zéro sont suspectes et irréalistes, et doivent être considérées comme manquantes.</w:t>
      </w:r>
    </w:p>
    <w:p w14:paraId="4F34EBAF" w14:textId="77777777" w:rsidR="0051670B" w:rsidRPr="0051670B" w:rsidRDefault="0051670B" w:rsidP="0051670B">
      <w:pPr>
        <w:bidi/>
        <w:spacing w:line="240" w:lineRule="auto"/>
        <w:jc w:val="right"/>
        <w:rPr>
          <w:rFonts w:asciiTheme="majorBidi" w:hAnsiTheme="majorBidi" w:cstheme="majorBidi"/>
        </w:rPr>
      </w:pPr>
      <w:r w:rsidRPr="0051670B">
        <w:rPr>
          <w:rFonts w:asciiTheme="majorBidi" w:hAnsiTheme="majorBidi" w:cstheme="majorBidi"/>
        </w:rPr>
        <w:pict w14:anchorId="7430FEAC">
          <v:rect id="_x0000_i1241" style="width:0;height:1.5pt" o:hralign="center" o:hrstd="t" o:hr="t" fillcolor="#a0a0a0" stroked="f"/>
        </w:pict>
      </w:r>
    </w:p>
    <w:p w14:paraId="3C42842C" w14:textId="77777777" w:rsidR="0051670B" w:rsidRPr="0051670B" w:rsidRDefault="0051670B" w:rsidP="0051670B">
      <w:pPr>
        <w:bidi/>
        <w:spacing w:line="240" w:lineRule="auto"/>
        <w:jc w:val="right"/>
        <w:rPr>
          <w:rFonts w:asciiTheme="majorBidi" w:hAnsiTheme="majorBidi" w:cstheme="majorBidi"/>
          <w:lang w:val="fr-FR"/>
        </w:rPr>
      </w:pPr>
      <w:r w:rsidRPr="0051670B">
        <w:rPr>
          <w:rFonts w:asciiTheme="majorBidi" w:hAnsiTheme="majorBidi" w:cstheme="majorBidi"/>
          <w:b/>
          <w:bCs/>
          <w:lang w:val="fr-FR"/>
        </w:rPr>
        <w:t xml:space="preserve">4. </w:t>
      </w:r>
      <w:proofErr w:type="spellStart"/>
      <w:r w:rsidRPr="0051670B">
        <w:rPr>
          <w:rFonts w:asciiTheme="majorBidi" w:hAnsiTheme="majorBidi" w:cstheme="majorBidi"/>
          <w:b/>
          <w:bCs/>
          <w:lang w:val="fr-FR"/>
        </w:rPr>
        <w:t>SkinThickness</w:t>
      </w:r>
      <w:proofErr w:type="spellEnd"/>
      <w:r w:rsidRPr="0051670B">
        <w:rPr>
          <w:rFonts w:asciiTheme="majorBidi" w:hAnsiTheme="majorBidi" w:cstheme="majorBidi"/>
          <w:b/>
          <w:bCs/>
          <w:lang w:val="fr-FR"/>
        </w:rPr>
        <w:t xml:space="preserve"> (Épaisseur du pli cutané)</w:t>
      </w:r>
      <w:r w:rsidRPr="0051670B">
        <w:rPr>
          <w:rFonts w:asciiTheme="majorBidi" w:hAnsiTheme="majorBidi" w:cstheme="majorBidi"/>
          <w:lang w:val="fr-FR"/>
        </w:rPr>
        <w:br/>
        <w:t>La distribution est fortement biaisée à droite. Un grand nombre de valeurs sont égales à zéro, ce qui indique probablement des données manquantes ou non mesurées. Un traitement spécifique est donc nécessaire pour corriger ou imputer ces valeurs.</w:t>
      </w:r>
    </w:p>
    <w:p w14:paraId="5ED55F87" w14:textId="77777777" w:rsidR="0051670B" w:rsidRPr="0051670B" w:rsidRDefault="0051670B" w:rsidP="0051670B">
      <w:pPr>
        <w:bidi/>
        <w:spacing w:line="240" w:lineRule="auto"/>
        <w:jc w:val="right"/>
        <w:rPr>
          <w:rFonts w:asciiTheme="majorBidi" w:hAnsiTheme="majorBidi" w:cstheme="majorBidi"/>
          <w:lang w:val="fr-FR"/>
        </w:rPr>
      </w:pPr>
      <w:r w:rsidRPr="0051670B">
        <w:rPr>
          <w:rFonts w:asciiTheme="majorBidi" w:hAnsiTheme="majorBidi" w:cstheme="majorBidi"/>
          <w:b/>
          <w:bCs/>
          <w:lang w:val="fr-FR"/>
        </w:rPr>
        <w:t xml:space="preserve">5. </w:t>
      </w:r>
      <w:proofErr w:type="spellStart"/>
      <w:r w:rsidRPr="0051670B">
        <w:rPr>
          <w:rFonts w:asciiTheme="majorBidi" w:hAnsiTheme="majorBidi" w:cstheme="majorBidi"/>
          <w:b/>
          <w:bCs/>
          <w:lang w:val="fr-FR"/>
        </w:rPr>
        <w:t>Insulin</w:t>
      </w:r>
      <w:proofErr w:type="spellEnd"/>
      <w:r w:rsidRPr="0051670B">
        <w:rPr>
          <w:rFonts w:asciiTheme="majorBidi" w:hAnsiTheme="majorBidi" w:cstheme="majorBidi"/>
          <w:b/>
          <w:bCs/>
          <w:lang w:val="fr-FR"/>
        </w:rPr>
        <w:t xml:space="preserve"> (Insulinémie)</w:t>
      </w:r>
      <w:r w:rsidRPr="0051670B">
        <w:rPr>
          <w:rFonts w:asciiTheme="majorBidi" w:hAnsiTheme="majorBidi" w:cstheme="majorBidi"/>
          <w:lang w:val="fr-FR"/>
        </w:rPr>
        <w:br/>
        <w:t>La distribution est extrêmement asymétrique. La majorité des enregistrements ont une valeur égale à zéro, ce qui est peu plausible sur le plan médical et suggère des valeurs manquantes. À l’inverse, quelques individus présentent des taux très élevés, allant jusqu’à 900+, ce qui correspond à des cas rares mais possibles.</w:t>
      </w:r>
    </w:p>
    <w:p w14:paraId="3ABEAC30" w14:textId="77777777" w:rsidR="0051670B" w:rsidRPr="0051670B" w:rsidRDefault="0051670B" w:rsidP="0051670B">
      <w:pPr>
        <w:bidi/>
        <w:spacing w:line="240" w:lineRule="auto"/>
        <w:jc w:val="right"/>
        <w:rPr>
          <w:rFonts w:asciiTheme="majorBidi" w:hAnsiTheme="majorBidi" w:cstheme="majorBidi"/>
          <w:lang w:val="fr-FR"/>
        </w:rPr>
      </w:pPr>
      <w:r w:rsidRPr="0051670B">
        <w:rPr>
          <w:rFonts w:asciiTheme="majorBidi" w:hAnsiTheme="majorBidi" w:cstheme="majorBidi"/>
          <w:b/>
          <w:bCs/>
          <w:lang w:val="fr-FR"/>
        </w:rPr>
        <w:t>6. BMI (Indice de Masse Corporelle)</w:t>
      </w:r>
      <w:r w:rsidRPr="0051670B">
        <w:rPr>
          <w:rFonts w:asciiTheme="majorBidi" w:hAnsiTheme="majorBidi" w:cstheme="majorBidi"/>
          <w:lang w:val="fr-FR"/>
        </w:rPr>
        <w:br/>
        <w:t>La distribution est légèrement asymétrique à gauche. La majorité des individus ont un IMC compris entre 25 et 40, ce qui correspond à des cas de surpoids ou d’obésité. Les valeurs nulles sont également à considérer comme manquantes ou invalides, car un IMC égal à zéro n’a pas de sens clinique.</w:t>
      </w:r>
    </w:p>
    <w:p w14:paraId="3FE087BA" w14:textId="77777777" w:rsidR="0051670B" w:rsidRPr="0051670B" w:rsidRDefault="0051670B" w:rsidP="0051670B">
      <w:pPr>
        <w:bidi/>
        <w:spacing w:line="240" w:lineRule="auto"/>
        <w:jc w:val="right"/>
        <w:rPr>
          <w:rFonts w:asciiTheme="majorBidi" w:hAnsiTheme="majorBidi" w:cstheme="majorBidi"/>
        </w:rPr>
      </w:pPr>
      <w:r w:rsidRPr="0051670B">
        <w:rPr>
          <w:rFonts w:asciiTheme="majorBidi" w:hAnsiTheme="majorBidi" w:cstheme="majorBidi"/>
        </w:rPr>
        <w:pict w14:anchorId="16A6FEC1">
          <v:rect id="_x0000_i1242" style="width:0;height:1.5pt" o:hralign="center" o:hrstd="t" o:hr="t" fillcolor="#a0a0a0" stroked="f"/>
        </w:pict>
      </w:r>
    </w:p>
    <w:p w14:paraId="23C3BFB1" w14:textId="77777777" w:rsidR="0051670B" w:rsidRPr="0051670B" w:rsidRDefault="0051670B" w:rsidP="0051670B">
      <w:pPr>
        <w:bidi/>
        <w:spacing w:line="240" w:lineRule="auto"/>
        <w:jc w:val="right"/>
        <w:rPr>
          <w:rFonts w:asciiTheme="majorBidi" w:hAnsiTheme="majorBidi" w:cstheme="majorBidi"/>
          <w:lang w:val="fr-FR"/>
        </w:rPr>
      </w:pPr>
      <w:r w:rsidRPr="0051670B">
        <w:rPr>
          <w:rFonts w:asciiTheme="majorBidi" w:hAnsiTheme="majorBidi" w:cstheme="majorBidi"/>
          <w:b/>
          <w:bCs/>
          <w:lang w:val="fr-FR"/>
        </w:rPr>
        <w:t xml:space="preserve">7. </w:t>
      </w:r>
      <w:proofErr w:type="spellStart"/>
      <w:r w:rsidRPr="0051670B">
        <w:rPr>
          <w:rFonts w:asciiTheme="majorBidi" w:hAnsiTheme="majorBidi" w:cstheme="majorBidi"/>
          <w:b/>
          <w:bCs/>
          <w:lang w:val="fr-FR"/>
        </w:rPr>
        <w:t>DiabetesPedigreeFunction</w:t>
      </w:r>
      <w:proofErr w:type="spellEnd"/>
      <w:r w:rsidRPr="0051670B">
        <w:rPr>
          <w:rFonts w:asciiTheme="majorBidi" w:hAnsiTheme="majorBidi" w:cstheme="majorBidi"/>
          <w:b/>
          <w:bCs/>
          <w:lang w:val="fr-FR"/>
        </w:rPr>
        <w:t xml:space="preserve"> (Antécédents familiaux de diabète)</w:t>
      </w:r>
      <w:r w:rsidRPr="0051670B">
        <w:rPr>
          <w:rFonts w:asciiTheme="majorBidi" w:hAnsiTheme="majorBidi" w:cstheme="majorBidi"/>
          <w:lang w:val="fr-FR"/>
        </w:rPr>
        <w:br/>
        <w:t>La distribution de cette variable est fortement biaisée à droite. Elle mesure la prédisposition génétique au diabète. De nombreuses valeurs sont proches de zéro, tandis que peu d'individus présentent des valeurs supérieures à 1.0.</w:t>
      </w:r>
    </w:p>
    <w:p w14:paraId="279DA9F7" w14:textId="77777777" w:rsidR="0051670B" w:rsidRPr="0051670B" w:rsidRDefault="0051670B" w:rsidP="0051670B">
      <w:pPr>
        <w:bidi/>
        <w:spacing w:line="240" w:lineRule="auto"/>
        <w:jc w:val="right"/>
        <w:rPr>
          <w:rFonts w:asciiTheme="majorBidi" w:hAnsiTheme="majorBidi" w:cstheme="majorBidi"/>
          <w:lang w:val="fr-FR"/>
        </w:rPr>
      </w:pPr>
      <w:r w:rsidRPr="0051670B">
        <w:rPr>
          <w:rFonts w:asciiTheme="majorBidi" w:hAnsiTheme="majorBidi" w:cstheme="majorBidi"/>
          <w:b/>
          <w:bCs/>
          <w:lang w:val="fr-FR"/>
        </w:rPr>
        <w:t>8. Age (Âge des patients)</w:t>
      </w:r>
      <w:r w:rsidRPr="0051670B">
        <w:rPr>
          <w:rFonts w:asciiTheme="majorBidi" w:hAnsiTheme="majorBidi" w:cstheme="majorBidi"/>
          <w:lang w:val="fr-FR"/>
        </w:rPr>
        <w:br/>
        <w:t>La majorité des personnes interrogées ont entre 20 et 45 ans. Cependant, quelques patients sont âgés de plus de 70 ans, avec une valeur maximale proche de 80 ans. On dispose donc d’un éventail d’âge assez large, ce qui est favorable à une modélisation plus robuste.</w:t>
      </w:r>
    </w:p>
    <w:p w14:paraId="6A863E4C" w14:textId="668E3934" w:rsidR="00FD29CF" w:rsidRDefault="00FD29CF" w:rsidP="0051670B">
      <w:pPr>
        <w:bidi/>
        <w:spacing w:line="240" w:lineRule="auto"/>
        <w:jc w:val="right"/>
        <w:rPr>
          <w:rFonts w:asciiTheme="majorBidi" w:hAnsiTheme="majorBidi" w:cstheme="majorBidi"/>
          <w:lang w:val="fr-FR"/>
        </w:rPr>
      </w:pPr>
    </w:p>
    <w:p w14:paraId="2E17B4C6" w14:textId="77777777" w:rsidR="00FD29CF" w:rsidRDefault="00FD29CF" w:rsidP="00FD29CF">
      <w:pPr>
        <w:bidi/>
        <w:spacing w:line="240" w:lineRule="auto"/>
        <w:jc w:val="right"/>
        <w:rPr>
          <w:rFonts w:asciiTheme="majorBidi" w:hAnsiTheme="majorBidi" w:cstheme="majorBidi"/>
          <w:lang w:val="fr-FR"/>
        </w:rPr>
      </w:pPr>
    </w:p>
    <w:p w14:paraId="4BE6A53F" w14:textId="7488E85B" w:rsidR="00FD29CF" w:rsidRDefault="00FD29CF" w:rsidP="00FD29CF">
      <w:pPr>
        <w:bidi/>
        <w:jc w:val="right"/>
        <w:rPr>
          <w:noProof/>
        </w:rPr>
      </w:pPr>
      <w:r>
        <w:rPr>
          <w:noProof/>
        </w:rPr>
        <w:lastRenderedPageBreak/>
        <w:drawing>
          <wp:inline distT="0" distB="0" distL="0" distR="0" wp14:anchorId="46586642" wp14:editId="0D775DA0">
            <wp:extent cx="5943600" cy="5417185"/>
            <wp:effectExtent l="0" t="0" r="0" b="0"/>
            <wp:docPr id="311362514"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362514" name="Picture 2" descr="A screenshot of a graph&#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17185"/>
                    </a:xfrm>
                    <a:prstGeom prst="rect">
                      <a:avLst/>
                    </a:prstGeom>
                    <a:noFill/>
                    <a:ln>
                      <a:noFill/>
                    </a:ln>
                  </pic:spPr>
                </pic:pic>
              </a:graphicData>
            </a:graphic>
          </wp:inline>
        </w:drawing>
      </w:r>
    </w:p>
    <w:p w14:paraId="0C64136C" w14:textId="77777777" w:rsidR="00FD29CF" w:rsidRPr="00FD29CF" w:rsidRDefault="00FD29CF" w:rsidP="00FD29CF">
      <w:pPr>
        <w:bidi/>
        <w:spacing w:line="276" w:lineRule="auto"/>
        <w:ind w:left="720"/>
        <w:jc w:val="right"/>
        <w:rPr>
          <w:rFonts w:asciiTheme="majorBidi" w:hAnsiTheme="majorBidi" w:cstheme="majorBidi"/>
          <w:lang w:val="fr-FR"/>
        </w:rPr>
      </w:pPr>
      <w:r w:rsidRPr="00FD29CF">
        <w:rPr>
          <w:rFonts w:asciiTheme="majorBidi" w:hAnsiTheme="majorBidi" w:cstheme="majorBidi"/>
          <w:lang w:val="fr-FR"/>
        </w:rPr>
        <w:t xml:space="preserve">La </w:t>
      </w:r>
      <w:r w:rsidRPr="00FD29CF">
        <w:rPr>
          <w:rFonts w:asciiTheme="majorBidi" w:hAnsiTheme="majorBidi" w:cstheme="majorBidi"/>
          <w:b/>
          <w:bCs/>
          <w:lang w:val="fr-FR"/>
        </w:rPr>
        <w:t>matrice de corrélation</w:t>
      </w:r>
      <w:r w:rsidRPr="00FD29CF">
        <w:rPr>
          <w:rFonts w:asciiTheme="majorBidi" w:hAnsiTheme="majorBidi" w:cstheme="majorBidi"/>
          <w:lang w:val="fr-FR"/>
        </w:rPr>
        <w:t xml:space="preserve"> présentée ci-dessus permet d’analyser les relations linéaires entre les différentes variables du jeu de données. Chaque cellule du tableau indique le </w:t>
      </w:r>
      <w:r w:rsidRPr="00FD29CF">
        <w:rPr>
          <w:rFonts w:asciiTheme="majorBidi" w:hAnsiTheme="majorBidi" w:cstheme="majorBidi"/>
          <w:b/>
          <w:bCs/>
          <w:lang w:val="fr-FR"/>
        </w:rPr>
        <w:t>coefficient de corrélation</w:t>
      </w:r>
      <w:r w:rsidRPr="00FD29CF">
        <w:rPr>
          <w:rFonts w:asciiTheme="majorBidi" w:hAnsiTheme="majorBidi" w:cstheme="majorBidi"/>
          <w:lang w:val="fr-FR"/>
        </w:rPr>
        <w:t xml:space="preserve"> entre deux variables, avec des valeurs comprises entre -1 et +1. Une valeur proche de +1 indique une </w:t>
      </w:r>
      <w:r w:rsidRPr="00FD29CF">
        <w:rPr>
          <w:rFonts w:asciiTheme="majorBidi" w:hAnsiTheme="majorBidi" w:cstheme="majorBidi"/>
          <w:b/>
          <w:bCs/>
          <w:lang w:val="fr-FR"/>
        </w:rPr>
        <w:t>forte corrélation positive</w:t>
      </w:r>
      <w:r w:rsidRPr="00FD29CF">
        <w:rPr>
          <w:rFonts w:asciiTheme="majorBidi" w:hAnsiTheme="majorBidi" w:cstheme="majorBidi"/>
          <w:lang w:val="fr-FR"/>
        </w:rPr>
        <w:t xml:space="preserve"> (les deux variables évoluent dans le même sens), une valeur proche de -1 indique une </w:t>
      </w:r>
      <w:r w:rsidRPr="00FD29CF">
        <w:rPr>
          <w:rFonts w:asciiTheme="majorBidi" w:hAnsiTheme="majorBidi" w:cstheme="majorBidi"/>
          <w:b/>
          <w:bCs/>
          <w:lang w:val="fr-FR"/>
        </w:rPr>
        <w:t>forte corrélation négative</w:t>
      </w:r>
      <w:r w:rsidRPr="00FD29CF">
        <w:rPr>
          <w:rFonts w:asciiTheme="majorBidi" w:hAnsiTheme="majorBidi" w:cstheme="majorBidi"/>
          <w:lang w:val="fr-FR"/>
        </w:rPr>
        <w:t xml:space="preserve"> (elles évoluent en sens inverse), tandis qu'une valeur proche de 0 indique </w:t>
      </w:r>
      <w:r w:rsidRPr="00FD29CF">
        <w:rPr>
          <w:rFonts w:asciiTheme="majorBidi" w:hAnsiTheme="majorBidi" w:cstheme="majorBidi"/>
          <w:b/>
          <w:bCs/>
          <w:lang w:val="fr-FR"/>
        </w:rPr>
        <w:t>peu ou pas de corrélation linéaire</w:t>
      </w:r>
      <w:r w:rsidRPr="00FD29CF">
        <w:rPr>
          <w:rFonts w:asciiTheme="majorBidi" w:hAnsiTheme="majorBidi" w:cstheme="majorBidi"/>
          <w:lang w:val="fr-FR"/>
        </w:rPr>
        <w:t>.</w:t>
      </w:r>
    </w:p>
    <w:p w14:paraId="7649D2A0" w14:textId="77777777" w:rsidR="00FD29CF" w:rsidRPr="00FD29CF" w:rsidRDefault="00FD29CF" w:rsidP="00FD29CF">
      <w:pPr>
        <w:bidi/>
        <w:spacing w:line="276" w:lineRule="auto"/>
        <w:ind w:left="720"/>
        <w:jc w:val="right"/>
        <w:rPr>
          <w:rFonts w:asciiTheme="majorBidi" w:hAnsiTheme="majorBidi" w:cstheme="majorBidi"/>
          <w:lang w:val="fr-FR"/>
        </w:rPr>
      </w:pPr>
      <w:r w:rsidRPr="00FD29CF">
        <w:rPr>
          <w:rFonts w:asciiTheme="majorBidi" w:hAnsiTheme="majorBidi" w:cstheme="majorBidi"/>
          <w:lang w:val="fr-FR"/>
        </w:rPr>
        <w:t>Dans ce cas, plusieurs corrélations intéressantes sont observées :</w:t>
      </w:r>
    </w:p>
    <w:p w14:paraId="09222D67" w14:textId="77777777" w:rsidR="00FD29CF" w:rsidRPr="00FD29CF" w:rsidRDefault="00FD29CF" w:rsidP="00FD29CF">
      <w:pPr>
        <w:numPr>
          <w:ilvl w:val="0"/>
          <w:numId w:val="20"/>
        </w:numPr>
        <w:bidi/>
        <w:spacing w:line="276" w:lineRule="auto"/>
        <w:jc w:val="right"/>
        <w:rPr>
          <w:rFonts w:asciiTheme="majorBidi" w:hAnsiTheme="majorBidi" w:cstheme="majorBidi"/>
          <w:lang w:val="fr-FR"/>
        </w:rPr>
      </w:pPr>
      <w:r w:rsidRPr="00FD29CF">
        <w:rPr>
          <w:rFonts w:asciiTheme="majorBidi" w:hAnsiTheme="majorBidi" w:cstheme="majorBidi"/>
          <w:lang w:val="fr-FR"/>
        </w:rPr>
        <w:t xml:space="preserve">La variable </w:t>
      </w:r>
      <w:r w:rsidRPr="00FD29CF">
        <w:rPr>
          <w:rFonts w:asciiTheme="majorBidi" w:hAnsiTheme="majorBidi" w:cstheme="majorBidi"/>
          <w:b/>
          <w:bCs/>
          <w:lang w:val="fr-FR"/>
        </w:rPr>
        <w:t>"</w:t>
      </w:r>
      <w:proofErr w:type="spellStart"/>
      <w:r w:rsidRPr="00FD29CF">
        <w:rPr>
          <w:rFonts w:asciiTheme="majorBidi" w:hAnsiTheme="majorBidi" w:cstheme="majorBidi"/>
          <w:b/>
          <w:bCs/>
          <w:lang w:val="fr-FR"/>
        </w:rPr>
        <w:t>Pregnancies</w:t>
      </w:r>
      <w:proofErr w:type="spellEnd"/>
      <w:r w:rsidRPr="00FD29CF">
        <w:rPr>
          <w:rFonts w:asciiTheme="majorBidi" w:hAnsiTheme="majorBidi" w:cstheme="majorBidi"/>
          <w:b/>
          <w:bCs/>
          <w:lang w:val="fr-FR"/>
        </w:rPr>
        <w:t>"</w:t>
      </w:r>
      <w:r w:rsidRPr="00FD29CF">
        <w:rPr>
          <w:rFonts w:asciiTheme="majorBidi" w:hAnsiTheme="majorBidi" w:cstheme="majorBidi"/>
          <w:lang w:val="fr-FR"/>
        </w:rPr>
        <w:t xml:space="preserve"> (nombre de grossesses) présente une corrélation modérée avec </w:t>
      </w:r>
      <w:r w:rsidRPr="00FD29CF">
        <w:rPr>
          <w:rFonts w:asciiTheme="majorBidi" w:hAnsiTheme="majorBidi" w:cstheme="majorBidi"/>
          <w:b/>
          <w:bCs/>
          <w:lang w:val="fr-FR"/>
        </w:rPr>
        <w:t>l’âge</w:t>
      </w:r>
      <w:r w:rsidRPr="00FD29CF">
        <w:rPr>
          <w:rFonts w:asciiTheme="majorBidi" w:hAnsiTheme="majorBidi" w:cstheme="majorBidi"/>
          <w:lang w:val="fr-FR"/>
        </w:rPr>
        <w:t xml:space="preserve"> (0.54), ce qui est cohérent : plus une femme est âgée, plus elle a eu de grossesses.</w:t>
      </w:r>
    </w:p>
    <w:p w14:paraId="7F3483D5" w14:textId="77777777" w:rsidR="00FD29CF" w:rsidRPr="00FD29CF" w:rsidRDefault="00FD29CF" w:rsidP="00FD29CF">
      <w:pPr>
        <w:numPr>
          <w:ilvl w:val="0"/>
          <w:numId w:val="20"/>
        </w:numPr>
        <w:bidi/>
        <w:spacing w:line="276" w:lineRule="auto"/>
        <w:jc w:val="right"/>
        <w:rPr>
          <w:rFonts w:asciiTheme="majorBidi" w:hAnsiTheme="majorBidi" w:cstheme="majorBidi"/>
          <w:lang w:val="fr-FR"/>
        </w:rPr>
      </w:pPr>
      <w:r w:rsidRPr="00FD29CF">
        <w:rPr>
          <w:rFonts w:asciiTheme="majorBidi" w:hAnsiTheme="majorBidi" w:cstheme="majorBidi"/>
          <w:lang w:val="fr-FR"/>
        </w:rPr>
        <w:lastRenderedPageBreak/>
        <w:t xml:space="preserve">La variable </w:t>
      </w:r>
      <w:r w:rsidRPr="00FD29CF">
        <w:rPr>
          <w:rFonts w:asciiTheme="majorBidi" w:hAnsiTheme="majorBidi" w:cstheme="majorBidi"/>
          <w:b/>
          <w:bCs/>
          <w:lang w:val="fr-FR"/>
        </w:rPr>
        <w:t>"Glucose"</w:t>
      </w:r>
      <w:r w:rsidRPr="00FD29CF">
        <w:rPr>
          <w:rFonts w:asciiTheme="majorBidi" w:hAnsiTheme="majorBidi" w:cstheme="majorBidi"/>
          <w:lang w:val="fr-FR"/>
        </w:rPr>
        <w:t xml:space="preserve"> (taux de glucose) est modérément corrélée à </w:t>
      </w:r>
      <w:r w:rsidRPr="00FD29CF">
        <w:rPr>
          <w:rFonts w:asciiTheme="majorBidi" w:hAnsiTheme="majorBidi" w:cstheme="majorBidi"/>
          <w:b/>
          <w:bCs/>
          <w:lang w:val="fr-FR"/>
        </w:rPr>
        <w:t>l’insuline</w:t>
      </w:r>
      <w:r w:rsidRPr="00FD29CF">
        <w:rPr>
          <w:rFonts w:asciiTheme="majorBidi" w:hAnsiTheme="majorBidi" w:cstheme="majorBidi"/>
          <w:lang w:val="fr-FR"/>
        </w:rPr>
        <w:t xml:space="preserve"> (0.33) et à </w:t>
      </w:r>
      <w:r w:rsidRPr="00FD29CF">
        <w:rPr>
          <w:rFonts w:asciiTheme="majorBidi" w:hAnsiTheme="majorBidi" w:cstheme="majorBidi"/>
          <w:b/>
          <w:bCs/>
          <w:lang w:val="fr-FR"/>
        </w:rPr>
        <w:t>l’indice de masse corporelle (BMI)</w:t>
      </w:r>
      <w:r w:rsidRPr="00FD29CF">
        <w:rPr>
          <w:rFonts w:asciiTheme="majorBidi" w:hAnsiTheme="majorBidi" w:cstheme="majorBidi"/>
          <w:lang w:val="fr-FR"/>
        </w:rPr>
        <w:t xml:space="preserve"> (0.22). Cela reflète une interdépendance physiologique entre le taux de sucre dans le sang, l'obésité et l'activité pancréatique.</w:t>
      </w:r>
    </w:p>
    <w:p w14:paraId="1CB28428" w14:textId="77777777" w:rsidR="00FD29CF" w:rsidRPr="00FD29CF" w:rsidRDefault="00FD29CF" w:rsidP="00FD29CF">
      <w:pPr>
        <w:numPr>
          <w:ilvl w:val="0"/>
          <w:numId w:val="20"/>
        </w:numPr>
        <w:bidi/>
        <w:spacing w:line="276" w:lineRule="auto"/>
        <w:jc w:val="right"/>
        <w:rPr>
          <w:rFonts w:asciiTheme="majorBidi" w:hAnsiTheme="majorBidi" w:cstheme="majorBidi"/>
          <w:lang w:val="fr-FR"/>
        </w:rPr>
      </w:pPr>
      <w:r w:rsidRPr="00FD29CF">
        <w:rPr>
          <w:rFonts w:asciiTheme="majorBidi" w:hAnsiTheme="majorBidi" w:cstheme="majorBidi"/>
          <w:b/>
          <w:bCs/>
          <w:lang w:val="fr-FR"/>
        </w:rPr>
        <w:t>"</w:t>
      </w:r>
      <w:proofErr w:type="spellStart"/>
      <w:r w:rsidRPr="00FD29CF">
        <w:rPr>
          <w:rFonts w:asciiTheme="majorBidi" w:hAnsiTheme="majorBidi" w:cstheme="majorBidi"/>
          <w:b/>
          <w:bCs/>
          <w:lang w:val="fr-FR"/>
        </w:rPr>
        <w:t>SkinThickness</w:t>
      </w:r>
      <w:proofErr w:type="spellEnd"/>
      <w:r w:rsidRPr="00FD29CF">
        <w:rPr>
          <w:rFonts w:asciiTheme="majorBidi" w:hAnsiTheme="majorBidi" w:cstheme="majorBidi"/>
          <w:b/>
          <w:bCs/>
          <w:lang w:val="fr-FR"/>
        </w:rPr>
        <w:t>"</w:t>
      </w:r>
      <w:r w:rsidRPr="00FD29CF">
        <w:rPr>
          <w:rFonts w:asciiTheme="majorBidi" w:hAnsiTheme="majorBidi" w:cstheme="majorBidi"/>
          <w:lang w:val="fr-FR"/>
        </w:rPr>
        <w:t xml:space="preserve"> (épaisseur du pli cutané) est corrélée avec </w:t>
      </w:r>
      <w:r w:rsidRPr="00FD29CF">
        <w:rPr>
          <w:rFonts w:asciiTheme="majorBidi" w:hAnsiTheme="majorBidi" w:cstheme="majorBidi"/>
          <w:b/>
          <w:bCs/>
          <w:lang w:val="fr-FR"/>
        </w:rPr>
        <w:t>l’insuline</w:t>
      </w:r>
      <w:r w:rsidRPr="00FD29CF">
        <w:rPr>
          <w:rFonts w:asciiTheme="majorBidi" w:hAnsiTheme="majorBidi" w:cstheme="majorBidi"/>
          <w:lang w:val="fr-FR"/>
        </w:rPr>
        <w:t xml:space="preserve"> (0.44) et </w:t>
      </w:r>
      <w:r w:rsidRPr="00FD29CF">
        <w:rPr>
          <w:rFonts w:asciiTheme="majorBidi" w:hAnsiTheme="majorBidi" w:cstheme="majorBidi"/>
          <w:b/>
          <w:bCs/>
          <w:lang w:val="fr-FR"/>
        </w:rPr>
        <w:t>le BMI</w:t>
      </w:r>
      <w:r w:rsidRPr="00FD29CF">
        <w:rPr>
          <w:rFonts w:asciiTheme="majorBidi" w:hAnsiTheme="majorBidi" w:cstheme="majorBidi"/>
          <w:lang w:val="fr-FR"/>
        </w:rPr>
        <w:t xml:space="preserve"> (0.39), ce qui s’explique par le fait que ces trois indicateurs sont souvent liés au stockage des graisses et à l’obésité.</w:t>
      </w:r>
    </w:p>
    <w:p w14:paraId="0784BD17" w14:textId="77777777" w:rsidR="00FD29CF" w:rsidRPr="00FD29CF" w:rsidRDefault="00FD29CF" w:rsidP="00FD29CF">
      <w:pPr>
        <w:numPr>
          <w:ilvl w:val="0"/>
          <w:numId w:val="20"/>
        </w:numPr>
        <w:bidi/>
        <w:spacing w:line="276" w:lineRule="auto"/>
        <w:jc w:val="right"/>
        <w:rPr>
          <w:rFonts w:asciiTheme="majorBidi" w:hAnsiTheme="majorBidi" w:cstheme="majorBidi"/>
          <w:lang w:val="fr-FR"/>
        </w:rPr>
      </w:pPr>
      <w:r w:rsidRPr="00FD29CF">
        <w:rPr>
          <w:rFonts w:asciiTheme="majorBidi" w:hAnsiTheme="majorBidi" w:cstheme="majorBidi"/>
          <w:lang w:val="fr-FR"/>
        </w:rPr>
        <w:t xml:space="preserve">Le </w:t>
      </w:r>
      <w:r w:rsidRPr="00FD29CF">
        <w:rPr>
          <w:rFonts w:asciiTheme="majorBidi" w:hAnsiTheme="majorBidi" w:cstheme="majorBidi"/>
          <w:b/>
          <w:bCs/>
          <w:lang w:val="fr-FR"/>
        </w:rPr>
        <w:t>BMI</w:t>
      </w:r>
      <w:r w:rsidRPr="00FD29CF">
        <w:rPr>
          <w:rFonts w:asciiTheme="majorBidi" w:hAnsiTheme="majorBidi" w:cstheme="majorBidi"/>
          <w:lang w:val="fr-FR"/>
        </w:rPr>
        <w:t xml:space="preserve"> est également légèrement corrélé avec la </w:t>
      </w:r>
      <w:r w:rsidRPr="00FD29CF">
        <w:rPr>
          <w:rFonts w:asciiTheme="majorBidi" w:hAnsiTheme="majorBidi" w:cstheme="majorBidi"/>
          <w:b/>
          <w:bCs/>
          <w:lang w:val="fr-FR"/>
        </w:rPr>
        <w:t>pression artérielle</w:t>
      </w:r>
      <w:r w:rsidRPr="00FD29CF">
        <w:rPr>
          <w:rFonts w:asciiTheme="majorBidi" w:hAnsiTheme="majorBidi" w:cstheme="majorBidi"/>
          <w:lang w:val="fr-FR"/>
        </w:rPr>
        <w:t xml:space="preserve"> (0.28) et le </w:t>
      </w:r>
      <w:r w:rsidRPr="00FD29CF">
        <w:rPr>
          <w:rFonts w:asciiTheme="majorBidi" w:hAnsiTheme="majorBidi" w:cstheme="majorBidi"/>
          <w:b/>
          <w:bCs/>
          <w:lang w:val="fr-FR"/>
        </w:rPr>
        <w:t>glucose</w:t>
      </w:r>
      <w:r w:rsidRPr="00FD29CF">
        <w:rPr>
          <w:rFonts w:asciiTheme="majorBidi" w:hAnsiTheme="majorBidi" w:cstheme="majorBidi"/>
          <w:lang w:val="fr-FR"/>
        </w:rPr>
        <w:t xml:space="preserve"> (0.22), confirmant que l’excès de poids peut impacter d'autres fonctions physiologiques.</w:t>
      </w:r>
    </w:p>
    <w:p w14:paraId="0A56C492" w14:textId="77777777" w:rsidR="00FD29CF" w:rsidRPr="00FD29CF" w:rsidRDefault="00FD29CF" w:rsidP="00FD29CF">
      <w:pPr>
        <w:numPr>
          <w:ilvl w:val="0"/>
          <w:numId w:val="20"/>
        </w:numPr>
        <w:bidi/>
        <w:spacing w:line="276" w:lineRule="auto"/>
        <w:jc w:val="right"/>
        <w:rPr>
          <w:rFonts w:asciiTheme="majorBidi" w:hAnsiTheme="majorBidi" w:cstheme="majorBidi"/>
          <w:lang w:val="fr-FR"/>
        </w:rPr>
      </w:pPr>
      <w:r w:rsidRPr="00FD29CF">
        <w:rPr>
          <w:rFonts w:asciiTheme="majorBidi" w:hAnsiTheme="majorBidi" w:cstheme="majorBidi"/>
          <w:lang w:val="fr-FR"/>
        </w:rPr>
        <w:t xml:space="preserve">La variable </w:t>
      </w:r>
      <w:r w:rsidRPr="00FD29CF">
        <w:rPr>
          <w:rFonts w:asciiTheme="majorBidi" w:hAnsiTheme="majorBidi" w:cstheme="majorBidi"/>
          <w:b/>
          <w:bCs/>
          <w:lang w:val="fr-FR"/>
        </w:rPr>
        <w:t>"</w:t>
      </w:r>
      <w:proofErr w:type="spellStart"/>
      <w:r w:rsidRPr="00FD29CF">
        <w:rPr>
          <w:rFonts w:asciiTheme="majorBidi" w:hAnsiTheme="majorBidi" w:cstheme="majorBidi"/>
          <w:b/>
          <w:bCs/>
          <w:lang w:val="fr-FR"/>
        </w:rPr>
        <w:t>DiabetesPedigreeFunction</w:t>
      </w:r>
      <w:proofErr w:type="spellEnd"/>
      <w:r w:rsidRPr="00FD29CF">
        <w:rPr>
          <w:rFonts w:asciiTheme="majorBidi" w:hAnsiTheme="majorBidi" w:cstheme="majorBidi"/>
          <w:b/>
          <w:bCs/>
          <w:lang w:val="fr-FR"/>
        </w:rPr>
        <w:t>"</w:t>
      </w:r>
      <w:r w:rsidRPr="00FD29CF">
        <w:rPr>
          <w:rFonts w:asciiTheme="majorBidi" w:hAnsiTheme="majorBidi" w:cstheme="majorBidi"/>
          <w:lang w:val="fr-FR"/>
        </w:rPr>
        <w:t>, qui mesure la prédisposition héréditaire au diabète, est faiblement corrélée avec les autres variables, ce qui suggère qu’elle apporte une information unique au modèle.</w:t>
      </w:r>
    </w:p>
    <w:p w14:paraId="3DBFC4C5" w14:textId="77777777" w:rsidR="00FD29CF" w:rsidRPr="00FD29CF" w:rsidRDefault="00FD29CF" w:rsidP="00FD29CF">
      <w:pPr>
        <w:numPr>
          <w:ilvl w:val="0"/>
          <w:numId w:val="20"/>
        </w:numPr>
        <w:bidi/>
        <w:spacing w:line="276" w:lineRule="auto"/>
        <w:jc w:val="right"/>
        <w:rPr>
          <w:rFonts w:asciiTheme="majorBidi" w:hAnsiTheme="majorBidi" w:cstheme="majorBidi"/>
          <w:lang w:val="fr-FR"/>
        </w:rPr>
      </w:pPr>
      <w:r w:rsidRPr="00FD29CF">
        <w:rPr>
          <w:rFonts w:asciiTheme="majorBidi" w:hAnsiTheme="majorBidi" w:cstheme="majorBidi"/>
          <w:lang w:val="fr-FR"/>
        </w:rPr>
        <w:t>Enfin, l’</w:t>
      </w:r>
      <w:r w:rsidRPr="00FD29CF">
        <w:rPr>
          <w:rFonts w:asciiTheme="majorBidi" w:hAnsiTheme="majorBidi" w:cstheme="majorBidi"/>
          <w:b/>
          <w:bCs/>
          <w:lang w:val="fr-FR"/>
        </w:rPr>
        <w:t>âge</w:t>
      </w:r>
      <w:r w:rsidRPr="00FD29CF">
        <w:rPr>
          <w:rFonts w:asciiTheme="majorBidi" w:hAnsiTheme="majorBidi" w:cstheme="majorBidi"/>
          <w:lang w:val="fr-FR"/>
        </w:rPr>
        <w:t xml:space="preserve"> est très faiblement corrélé à la plupart des variables, à l’exception des grossesses.</w:t>
      </w:r>
    </w:p>
    <w:p w14:paraId="00EC8818" w14:textId="77777777" w:rsidR="00FD29CF" w:rsidRPr="00FD29CF" w:rsidRDefault="00FD29CF" w:rsidP="00FD29CF">
      <w:pPr>
        <w:bidi/>
        <w:spacing w:line="276" w:lineRule="auto"/>
        <w:ind w:left="720"/>
        <w:jc w:val="right"/>
        <w:rPr>
          <w:rFonts w:asciiTheme="majorBidi" w:hAnsiTheme="majorBidi" w:cstheme="majorBidi"/>
          <w:lang w:val="fr-FR"/>
        </w:rPr>
      </w:pPr>
      <w:r w:rsidRPr="00FD29CF">
        <w:rPr>
          <w:rFonts w:asciiTheme="majorBidi" w:hAnsiTheme="majorBidi" w:cstheme="majorBidi"/>
          <w:lang w:val="fr-FR"/>
        </w:rPr>
        <w:t xml:space="preserve">Globalement, cette matrice ne révèle </w:t>
      </w:r>
      <w:r w:rsidRPr="00FD29CF">
        <w:rPr>
          <w:rFonts w:asciiTheme="majorBidi" w:hAnsiTheme="majorBidi" w:cstheme="majorBidi"/>
          <w:b/>
          <w:bCs/>
          <w:lang w:val="fr-FR"/>
        </w:rPr>
        <w:t>aucune corrélation très forte entre deux variables explicatives</w:t>
      </w:r>
      <w:r w:rsidRPr="00FD29CF">
        <w:rPr>
          <w:rFonts w:asciiTheme="majorBidi" w:hAnsiTheme="majorBidi" w:cstheme="majorBidi"/>
          <w:lang w:val="fr-FR"/>
        </w:rPr>
        <w:t>, ce qui est un bon indicateur pour la modélisation, car cela signifie qu’il y a peu de redondance dans les informations. Toutefois, quelques associations modérées peuvent guider le choix des variables les plus pertinentes ou justifier des regroupements ou réductions de dimensions dans les phases suivantes (ex : PCA ou sélection de caractéristiques).</w:t>
      </w:r>
    </w:p>
    <w:p w14:paraId="2FDDC62A" w14:textId="41ADC791" w:rsidR="00FD79A1" w:rsidRDefault="00FD79A1" w:rsidP="00FD79A1">
      <w:pPr>
        <w:bidi/>
        <w:spacing w:line="276" w:lineRule="auto"/>
        <w:ind w:left="720"/>
        <w:jc w:val="right"/>
        <w:rPr>
          <w:noProof/>
        </w:rPr>
      </w:pPr>
      <w:r>
        <w:rPr>
          <w:noProof/>
        </w:rPr>
        <w:lastRenderedPageBreak/>
        <w:drawing>
          <wp:inline distT="0" distB="0" distL="0" distR="0" wp14:anchorId="1DF2A321" wp14:editId="2DC563A5">
            <wp:extent cx="5943600" cy="6169660"/>
            <wp:effectExtent l="0" t="0" r="0" b="2540"/>
            <wp:docPr id="1423018326" name="Picture 3" descr="A group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18326" name="Picture 3" descr="A group of blue dot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69660"/>
                    </a:xfrm>
                    <a:prstGeom prst="rect">
                      <a:avLst/>
                    </a:prstGeom>
                    <a:noFill/>
                    <a:ln>
                      <a:noFill/>
                    </a:ln>
                  </pic:spPr>
                </pic:pic>
              </a:graphicData>
            </a:graphic>
          </wp:inline>
        </w:drawing>
      </w:r>
    </w:p>
    <w:p w14:paraId="74D4AF6E" w14:textId="77777777" w:rsidR="00FD79A1" w:rsidRPr="00FD79A1" w:rsidRDefault="00FD79A1" w:rsidP="00FD79A1">
      <w:pPr>
        <w:bidi/>
      </w:pPr>
    </w:p>
    <w:p w14:paraId="2422A9DF" w14:textId="77777777" w:rsidR="00FD79A1" w:rsidRDefault="00FD79A1" w:rsidP="00FD79A1">
      <w:pPr>
        <w:bidi/>
        <w:rPr>
          <w:noProof/>
        </w:rPr>
      </w:pPr>
    </w:p>
    <w:p w14:paraId="47603C34" w14:textId="77777777" w:rsidR="00FD79A1" w:rsidRPr="00FD79A1" w:rsidRDefault="00FD79A1" w:rsidP="00FD79A1">
      <w:pPr>
        <w:tabs>
          <w:tab w:val="left" w:pos="6948"/>
        </w:tabs>
        <w:rPr>
          <w:rFonts w:asciiTheme="majorBidi" w:hAnsiTheme="majorBidi" w:cstheme="majorBidi"/>
          <w:b/>
          <w:bCs/>
          <w:lang w:val="fr-FR"/>
        </w:rPr>
      </w:pPr>
      <w:r w:rsidRPr="00FD79A1">
        <w:rPr>
          <w:rFonts w:asciiTheme="majorBidi" w:hAnsiTheme="majorBidi" w:cstheme="majorBidi"/>
          <w:b/>
          <w:bCs/>
          <w:lang w:val="fr-FR"/>
        </w:rPr>
        <w:t>Analyse des relations entre variables pertinentes</w:t>
      </w:r>
    </w:p>
    <w:p w14:paraId="51F260B2" w14:textId="77777777" w:rsidR="00FD79A1" w:rsidRPr="00FD79A1" w:rsidRDefault="00FD79A1" w:rsidP="00FD79A1">
      <w:pPr>
        <w:tabs>
          <w:tab w:val="left" w:pos="6948"/>
        </w:tabs>
        <w:rPr>
          <w:rFonts w:asciiTheme="majorBidi" w:hAnsiTheme="majorBidi" w:cstheme="majorBidi"/>
          <w:lang w:val="fr-FR"/>
        </w:rPr>
      </w:pPr>
      <w:r w:rsidRPr="00FD79A1">
        <w:rPr>
          <w:rFonts w:asciiTheme="majorBidi" w:hAnsiTheme="majorBidi" w:cstheme="majorBidi"/>
          <w:lang w:val="fr-FR"/>
        </w:rPr>
        <w:t xml:space="preserve">Le graphique ci-dessus représente une </w:t>
      </w:r>
      <w:r w:rsidRPr="00FD79A1">
        <w:rPr>
          <w:rFonts w:asciiTheme="majorBidi" w:hAnsiTheme="majorBidi" w:cstheme="majorBidi"/>
          <w:b/>
          <w:bCs/>
          <w:lang w:val="fr-FR"/>
        </w:rPr>
        <w:t>matrice de dispersion</w:t>
      </w:r>
      <w:r w:rsidRPr="00FD79A1">
        <w:rPr>
          <w:rFonts w:asciiTheme="majorBidi" w:hAnsiTheme="majorBidi" w:cstheme="majorBidi"/>
          <w:lang w:val="fr-FR"/>
        </w:rPr>
        <w:t xml:space="preserve"> (ou </w:t>
      </w:r>
      <w:proofErr w:type="spellStart"/>
      <w:r w:rsidRPr="00FD79A1">
        <w:rPr>
          <w:rFonts w:asciiTheme="majorBidi" w:hAnsiTheme="majorBidi" w:cstheme="majorBidi"/>
          <w:i/>
          <w:iCs/>
          <w:lang w:val="fr-FR"/>
        </w:rPr>
        <w:t>pairplot</w:t>
      </w:r>
      <w:proofErr w:type="spellEnd"/>
      <w:r w:rsidRPr="00FD79A1">
        <w:rPr>
          <w:rFonts w:asciiTheme="majorBidi" w:hAnsiTheme="majorBidi" w:cstheme="majorBidi"/>
          <w:lang w:val="fr-FR"/>
        </w:rPr>
        <w:t xml:space="preserve">) entre quatre variables considérées comme particulièrement pertinentes pour la prédiction du diabète : </w:t>
      </w:r>
      <w:r w:rsidRPr="00FD79A1">
        <w:rPr>
          <w:rFonts w:asciiTheme="majorBidi" w:hAnsiTheme="majorBidi" w:cstheme="majorBidi"/>
          <w:b/>
          <w:bCs/>
          <w:lang w:val="fr-FR"/>
        </w:rPr>
        <w:t>Glucose</w:t>
      </w:r>
      <w:r w:rsidRPr="00FD79A1">
        <w:rPr>
          <w:rFonts w:asciiTheme="majorBidi" w:hAnsiTheme="majorBidi" w:cstheme="majorBidi"/>
          <w:lang w:val="fr-FR"/>
        </w:rPr>
        <w:t xml:space="preserve">, </w:t>
      </w:r>
      <w:r w:rsidRPr="00FD79A1">
        <w:rPr>
          <w:rFonts w:asciiTheme="majorBidi" w:hAnsiTheme="majorBidi" w:cstheme="majorBidi"/>
          <w:b/>
          <w:bCs/>
          <w:lang w:val="fr-FR"/>
        </w:rPr>
        <w:t>BMI (Indice de Masse Corporelle)</w:t>
      </w:r>
      <w:r w:rsidRPr="00FD79A1">
        <w:rPr>
          <w:rFonts w:asciiTheme="majorBidi" w:hAnsiTheme="majorBidi" w:cstheme="majorBidi"/>
          <w:lang w:val="fr-FR"/>
        </w:rPr>
        <w:t xml:space="preserve">, </w:t>
      </w:r>
      <w:r w:rsidRPr="00FD79A1">
        <w:rPr>
          <w:rFonts w:asciiTheme="majorBidi" w:hAnsiTheme="majorBidi" w:cstheme="majorBidi"/>
          <w:b/>
          <w:bCs/>
          <w:lang w:val="fr-FR"/>
        </w:rPr>
        <w:t>Age</w:t>
      </w:r>
      <w:r w:rsidRPr="00FD79A1">
        <w:rPr>
          <w:rFonts w:asciiTheme="majorBidi" w:hAnsiTheme="majorBidi" w:cstheme="majorBidi"/>
          <w:lang w:val="fr-FR"/>
        </w:rPr>
        <w:t xml:space="preserve">, et </w:t>
      </w:r>
      <w:proofErr w:type="spellStart"/>
      <w:r w:rsidRPr="00FD79A1">
        <w:rPr>
          <w:rFonts w:asciiTheme="majorBidi" w:hAnsiTheme="majorBidi" w:cstheme="majorBidi"/>
          <w:b/>
          <w:bCs/>
          <w:lang w:val="fr-FR"/>
        </w:rPr>
        <w:t>DiabetesPedigreeFunction</w:t>
      </w:r>
      <w:proofErr w:type="spellEnd"/>
      <w:r w:rsidRPr="00FD79A1">
        <w:rPr>
          <w:rFonts w:asciiTheme="majorBidi" w:hAnsiTheme="majorBidi" w:cstheme="majorBidi"/>
          <w:lang w:val="fr-FR"/>
        </w:rPr>
        <w:t>. Ce type de visualisation permet d’étudier les relations bivariées sous forme de nuages de points (</w:t>
      </w:r>
      <w:proofErr w:type="spellStart"/>
      <w:r w:rsidRPr="00FD79A1">
        <w:rPr>
          <w:rFonts w:asciiTheme="majorBidi" w:hAnsiTheme="majorBidi" w:cstheme="majorBidi"/>
          <w:i/>
          <w:iCs/>
          <w:lang w:val="fr-FR"/>
        </w:rPr>
        <w:t>scatter</w:t>
      </w:r>
      <w:proofErr w:type="spellEnd"/>
      <w:r w:rsidRPr="00FD79A1">
        <w:rPr>
          <w:rFonts w:asciiTheme="majorBidi" w:hAnsiTheme="majorBidi" w:cstheme="majorBidi"/>
          <w:i/>
          <w:iCs/>
          <w:lang w:val="fr-FR"/>
        </w:rPr>
        <w:t xml:space="preserve"> plots</w:t>
      </w:r>
      <w:r w:rsidRPr="00FD79A1">
        <w:rPr>
          <w:rFonts w:asciiTheme="majorBidi" w:hAnsiTheme="majorBidi" w:cstheme="majorBidi"/>
          <w:lang w:val="fr-FR"/>
        </w:rPr>
        <w:t>) tout en montrant en diagonale la distribution de chaque variable via des courbes de densité.</w:t>
      </w:r>
    </w:p>
    <w:p w14:paraId="5A746348" w14:textId="77777777" w:rsidR="00FD79A1" w:rsidRPr="00FD79A1" w:rsidRDefault="00FD79A1" w:rsidP="00FD79A1">
      <w:pPr>
        <w:tabs>
          <w:tab w:val="left" w:pos="6948"/>
        </w:tabs>
        <w:rPr>
          <w:rFonts w:asciiTheme="majorBidi" w:hAnsiTheme="majorBidi" w:cstheme="majorBidi"/>
          <w:lang w:val="fr-FR"/>
        </w:rPr>
      </w:pPr>
      <w:r w:rsidRPr="00FD79A1">
        <w:rPr>
          <w:rFonts w:asciiTheme="majorBidi" w:hAnsiTheme="majorBidi" w:cstheme="majorBidi"/>
          <w:lang w:val="fr-FR"/>
        </w:rPr>
        <w:lastRenderedPageBreak/>
        <w:t>L'analyse de cette figure révèle plusieurs éléments clés :</w:t>
      </w:r>
    </w:p>
    <w:p w14:paraId="3E119A19" w14:textId="77777777" w:rsidR="00FD79A1" w:rsidRPr="00FD79A1" w:rsidRDefault="00FD79A1" w:rsidP="00FD79A1">
      <w:pPr>
        <w:numPr>
          <w:ilvl w:val="0"/>
          <w:numId w:val="21"/>
        </w:numPr>
        <w:tabs>
          <w:tab w:val="left" w:pos="6948"/>
        </w:tabs>
        <w:rPr>
          <w:rFonts w:asciiTheme="majorBidi" w:hAnsiTheme="majorBidi" w:cstheme="majorBidi"/>
          <w:lang w:val="fr-FR"/>
        </w:rPr>
      </w:pPr>
      <w:r w:rsidRPr="00FD79A1">
        <w:rPr>
          <w:rFonts w:asciiTheme="majorBidi" w:hAnsiTheme="majorBidi" w:cstheme="majorBidi"/>
          <w:lang w:val="fr-FR"/>
        </w:rPr>
        <w:t xml:space="preserve">La variable </w:t>
      </w:r>
      <w:r w:rsidRPr="00FD79A1">
        <w:rPr>
          <w:rFonts w:asciiTheme="majorBidi" w:hAnsiTheme="majorBidi" w:cstheme="majorBidi"/>
          <w:b/>
          <w:bCs/>
          <w:lang w:val="fr-FR"/>
        </w:rPr>
        <w:t>Glucose</w:t>
      </w:r>
      <w:r w:rsidRPr="00FD79A1">
        <w:rPr>
          <w:rFonts w:asciiTheme="majorBidi" w:hAnsiTheme="majorBidi" w:cstheme="majorBidi"/>
          <w:lang w:val="fr-FR"/>
        </w:rPr>
        <w:t xml:space="preserve"> suit une distribution unimodale légèrement asymétrique, centrée autour de 120 mg/</w:t>
      </w:r>
      <w:proofErr w:type="spellStart"/>
      <w:r w:rsidRPr="00FD79A1">
        <w:rPr>
          <w:rFonts w:asciiTheme="majorBidi" w:hAnsiTheme="majorBidi" w:cstheme="majorBidi"/>
          <w:lang w:val="fr-FR"/>
        </w:rPr>
        <w:t>dL</w:t>
      </w:r>
      <w:proofErr w:type="spellEnd"/>
      <w:r w:rsidRPr="00FD79A1">
        <w:rPr>
          <w:rFonts w:asciiTheme="majorBidi" w:hAnsiTheme="majorBidi" w:cstheme="majorBidi"/>
          <w:lang w:val="fr-FR"/>
        </w:rPr>
        <w:t>. Elle semble assez dispersée mais présente une légère concentration verticale dans sa relation avec le BMI, sans lien linéaire fort apparent.</w:t>
      </w:r>
    </w:p>
    <w:p w14:paraId="44517BDC" w14:textId="77777777" w:rsidR="00FD79A1" w:rsidRPr="00FD79A1" w:rsidRDefault="00FD79A1" w:rsidP="00FD79A1">
      <w:pPr>
        <w:numPr>
          <w:ilvl w:val="0"/>
          <w:numId w:val="21"/>
        </w:numPr>
        <w:tabs>
          <w:tab w:val="left" w:pos="6948"/>
        </w:tabs>
        <w:rPr>
          <w:rFonts w:asciiTheme="majorBidi" w:hAnsiTheme="majorBidi" w:cstheme="majorBidi"/>
          <w:lang w:val="fr-FR"/>
        </w:rPr>
      </w:pPr>
      <w:r w:rsidRPr="00FD79A1">
        <w:rPr>
          <w:rFonts w:asciiTheme="majorBidi" w:hAnsiTheme="majorBidi" w:cstheme="majorBidi"/>
          <w:lang w:val="fr-FR"/>
        </w:rPr>
        <w:t xml:space="preserve">La variable </w:t>
      </w:r>
      <w:r w:rsidRPr="00FD79A1">
        <w:rPr>
          <w:rFonts w:asciiTheme="majorBidi" w:hAnsiTheme="majorBidi" w:cstheme="majorBidi"/>
          <w:b/>
          <w:bCs/>
          <w:lang w:val="fr-FR"/>
        </w:rPr>
        <w:t>BMI</w:t>
      </w:r>
      <w:r w:rsidRPr="00FD79A1">
        <w:rPr>
          <w:rFonts w:asciiTheme="majorBidi" w:hAnsiTheme="majorBidi" w:cstheme="majorBidi"/>
          <w:lang w:val="fr-FR"/>
        </w:rPr>
        <w:t xml:space="preserve"> est aussi globalement </w:t>
      </w:r>
      <w:proofErr w:type="gramStart"/>
      <w:r w:rsidRPr="00FD79A1">
        <w:rPr>
          <w:rFonts w:asciiTheme="majorBidi" w:hAnsiTheme="majorBidi" w:cstheme="majorBidi"/>
          <w:lang w:val="fr-FR"/>
        </w:rPr>
        <w:t>concentrée</w:t>
      </w:r>
      <w:proofErr w:type="gramEnd"/>
      <w:r w:rsidRPr="00FD79A1">
        <w:rPr>
          <w:rFonts w:asciiTheme="majorBidi" w:hAnsiTheme="majorBidi" w:cstheme="majorBidi"/>
          <w:lang w:val="fr-FR"/>
        </w:rPr>
        <w:t xml:space="preserve"> entre 25 et 40, ce qui confirme sa distribution centrée sur des cas de surpoids ou d’obésité. Sa relation avec l’âge ou les antécédents génétiques est très </w:t>
      </w:r>
      <w:proofErr w:type="gramStart"/>
      <w:r w:rsidRPr="00FD79A1">
        <w:rPr>
          <w:rFonts w:asciiTheme="majorBidi" w:hAnsiTheme="majorBidi" w:cstheme="majorBidi"/>
          <w:lang w:val="fr-FR"/>
        </w:rPr>
        <w:t>diffuse</w:t>
      </w:r>
      <w:proofErr w:type="gramEnd"/>
      <w:r w:rsidRPr="00FD79A1">
        <w:rPr>
          <w:rFonts w:asciiTheme="majorBidi" w:hAnsiTheme="majorBidi" w:cstheme="majorBidi"/>
          <w:lang w:val="fr-FR"/>
        </w:rPr>
        <w:t xml:space="preserve"> et ne montre pas de corrélation visuelle forte.</w:t>
      </w:r>
    </w:p>
    <w:p w14:paraId="05098B68" w14:textId="77777777" w:rsidR="00FD79A1" w:rsidRPr="00FD79A1" w:rsidRDefault="00FD79A1" w:rsidP="00FD79A1">
      <w:pPr>
        <w:numPr>
          <w:ilvl w:val="0"/>
          <w:numId w:val="21"/>
        </w:numPr>
        <w:tabs>
          <w:tab w:val="left" w:pos="6948"/>
        </w:tabs>
        <w:rPr>
          <w:rFonts w:asciiTheme="majorBidi" w:hAnsiTheme="majorBidi" w:cstheme="majorBidi"/>
          <w:lang w:val="fr-FR"/>
        </w:rPr>
      </w:pPr>
      <w:r w:rsidRPr="00FD79A1">
        <w:rPr>
          <w:rFonts w:asciiTheme="majorBidi" w:hAnsiTheme="majorBidi" w:cstheme="majorBidi"/>
          <w:lang w:val="fr-FR"/>
        </w:rPr>
        <w:t xml:space="preserve">La variable </w:t>
      </w:r>
      <w:r w:rsidRPr="00FD79A1">
        <w:rPr>
          <w:rFonts w:asciiTheme="majorBidi" w:hAnsiTheme="majorBidi" w:cstheme="majorBidi"/>
          <w:b/>
          <w:bCs/>
          <w:lang w:val="fr-FR"/>
        </w:rPr>
        <w:t>Age</w:t>
      </w:r>
      <w:r w:rsidRPr="00FD79A1">
        <w:rPr>
          <w:rFonts w:asciiTheme="majorBidi" w:hAnsiTheme="majorBidi" w:cstheme="majorBidi"/>
          <w:lang w:val="fr-FR"/>
        </w:rPr>
        <w:t xml:space="preserve"> montre une distribution concentrée entre 20 et 50 ans, avec une faible pente ascendante dans ses relations croisées avec le glucose ou le BMI, mais sans tendance linéaire claire. Cela confirme les résultats de la matrice de corrélation précédente.</w:t>
      </w:r>
    </w:p>
    <w:p w14:paraId="5A35B825" w14:textId="77777777" w:rsidR="00FD79A1" w:rsidRPr="00FD79A1" w:rsidRDefault="00FD79A1" w:rsidP="00FD79A1">
      <w:pPr>
        <w:numPr>
          <w:ilvl w:val="0"/>
          <w:numId w:val="21"/>
        </w:numPr>
        <w:tabs>
          <w:tab w:val="left" w:pos="6948"/>
        </w:tabs>
        <w:rPr>
          <w:rFonts w:asciiTheme="majorBidi" w:hAnsiTheme="majorBidi" w:cstheme="majorBidi"/>
          <w:lang w:val="fr-FR"/>
        </w:rPr>
      </w:pPr>
      <w:r w:rsidRPr="00FD79A1">
        <w:rPr>
          <w:rFonts w:asciiTheme="majorBidi" w:hAnsiTheme="majorBidi" w:cstheme="majorBidi"/>
          <w:lang w:val="fr-FR"/>
        </w:rPr>
        <w:t xml:space="preserve">Enfin, la variable </w:t>
      </w:r>
      <w:proofErr w:type="spellStart"/>
      <w:r w:rsidRPr="00FD79A1">
        <w:rPr>
          <w:rFonts w:asciiTheme="majorBidi" w:hAnsiTheme="majorBidi" w:cstheme="majorBidi"/>
          <w:b/>
          <w:bCs/>
          <w:lang w:val="fr-FR"/>
        </w:rPr>
        <w:t>DiabetesPedigreeFunction</w:t>
      </w:r>
      <w:proofErr w:type="spellEnd"/>
      <w:r w:rsidRPr="00FD79A1">
        <w:rPr>
          <w:rFonts w:asciiTheme="majorBidi" w:hAnsiTheme="majorBidi" w:cstheme="majorBidi"/>
          <w:lang w:val="fr-FR"/>
        </w:rPr>
        <w:t xml:space="preserve"> présente une distribution fortement biaisée à droite, avec la majorité des valeurs proches de 0. Son nuage de points avec les autres variables est très dispersé, ce qui suggère qu’elle n’a pas de relation linéaire forte avec les autres attributs, mais qu’elle pourrait néanmoins contribuer de façon indépendante à la prédiction.</w:t>
      </w:r>
    </w:p>
    <w:p w14:paraId="59E65974" w14:textId="77777777" w:rsidR="00FD79A1" w:rsidRPr="00FD79A1" w:rsidRDefault="00FD79A1" w:rsidP="00FD79A1">
      <w:pPr>
        <w:tabs>
          <w:tab w:val="left" w:pos="6948"/>
        </w:tabs>
        <w:rPr>
          <w:rFonts w:asciiTheme="majorBidi" w:hAnsiTheme="majorBidi" w:cstheme="majorBidi"/>
          <w:lang w:val="fr-FR"/>
        </w:rPr>
      </w:pPr>
      <w:r w:rsidRPr="00FD79A1">
        <w:rPr>
          <w:rFonts w:asciiTheme="majorBidi" w:hAnsiTheme="majorBidi" w:cstheme="majorBidi"/>
          <w:lang w:val="fr-FR"/>
        </w:rPr>
        <w:t xml:space="preserve">En conclusion, cette visualisation confirme qu’il n’existe </w:t>
      </w:r>
      <w:r w:rsidRPr="00FD79A1">
        <w:rPr>
          <w:rFonts w:asciiTheme="majorBidi" w:hAnsiTheme="majorBidi" w:cstheme="majorBidi"/>
          <w:b/>
          <w:bCs/>
          <w:lang w:val="fr-FR"/>
        </w:rPr>
        <w:t>pas de relation linéaire marquée entre ces variables</w:t>
      </w:r>
      <w:r w:rsidRPr="00FD79A1">
        <w:rPr>
          <w:rFonts w:asciiTheme="majorBidi" w:hAnsiTheme="majorBidi" w:cstheme="majorBidi"/>
          <w:lang w:val="fr-FR"/>
        </w:rPr>
        <w:t>, mais qu’elles présentent toutes des comportements distincts, justifiant leur conservation dans le modèle prédictif. Elles apportent chacune une contribution potentiellement complémentaire dans la classification du risque de diabète.</w:t>
      </w:r>
    </w:p>
    <w:p w14:paraId="641318C2" w14:textId="2F1AE1A3" w:rsidR="00FD79A1" w:rsidRDefault="00737ECF" w:rsidP="00FD79A1">
      <w:pPr>
        <w:tabs>
          <w:tab w:val="left" w:pos="6948"/>
        </w:tabs>
        <w:rPr>
          <w:rFonts w:asciiTheme="majorBidi" w:hAnsiTheme="majorBidi" w:cstheme="majorBidi"/>
          <w:lang w:val="fr-FR"/>
        </w:rPr>
      </w:pPr>
      <w:r>
        <w:rPr>
          <w:noProof/>
        </w:rPr>
        <w:lastRenderedPageBreak/>
        <w:drawing>
          <wp:inline distT="0" distB="0" distL="0" distR="0" wp14:anchorId="4DDD1BFD" wp14:editId="132BF95B">
            <wp:extent cx="5943600" cy="3973830"/>
            <wp:effectExtent l="0" t="0" r="0" b="7620"/>
            <wp:docPr id="965945893" name="Picture 4"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945893" name="Picture 4" descr="A graph with a blue lin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73830"/>
                    </a:xfrm>
                    <a:prstGeom prst="rect">
                      <a:avLst/>
                    </a:prstGeom>
                    <a:noFill/>
                    <a:ln>
                      <a:noFill/>
                    </a:ln>
                  </pic:spPr>
                </pic:pic>
              </a:graphicData>
            </a:graphic>
          </wp:inline>
        </w:drawing>
      </w:r>
    </w:p>
    <w:p w14:paraId="4EEE88D3" w14:textId="77777777" w:rsidR="00737ECF" w:rsidRPr="00737ECF" w:rsidRDefault="00737ECF" w:rsidP="00737ECF">
      <w:pPr>
        <w:tabs>
          <w:tab w:val="left" w:pos="6948"/>
        </w:tabs>
        <w:rPr>
          <w:rFonts w:asciiTheme="majorBidi" w:hAnsiTheme="majorBidi" w:cstheme="majorBidi"/>
          <w:b/>
          <w:bCs/>
          <w:lang w:val="fr-FR"/>
        </w:rPr>
      </w:pPr>
      <w:r w:rsidRPr="00737ECF">
        <w:rPr>
          <w:rFonts w:asciiTheme="majorBidi" w:hAnsiTheme="majorBidi" w:cstheme="majorBidi"/>
          <w:b/>
          <w:bCs/>
          <w:lang w:val="fr-FR"/>
        </w:rPr>
        <w:t>Détermination du nombre optimal de clusters – Méthode du coude</w:t>
      </w:r>
    </w:p>
    <w:p w14:paraId="3003E297" w14:textId="77777777" w:rsidR="00737ECF" w:rsidRPr="00737ECF" w:rsidRDefault="00737ECF" w:rsidP="00737ECF">
      <w:pPr>
        <w:tabs>
          <w:tab w:val="left" w:pos="6948"/>
        </w:tabs>
        <w:rPr>
          <w:rFonts w:asciiTheme="majorBidi" w:hAnsiTheme="majorBidi" w:cstheme="majorBidi"/>
          <w:lang w:val="fr-FR"/>
        </w:rPr>
      </w:pPr>
      <w:r w:rsidRPr="00737ECF">
        <w:rPr>
          <w:rFonts w:asciiTheme="majorBidi" w:hAnsiTheme="majorBidi" w:cstheme="majorBidi"/>
          <w:lang w:val="fr-FR"/>
        </w:rPr>
        <w:t xml:space="preserve">Le graphique ci-dessus illustre l’application de la </w:t>
      </w:r>
      <w:r w:rsidRPr="00737ECF">
        <w:rPr>
          <w:rFonts w:asciiTheme="majorBidi" w:hAnsiTheme="majorBidi" w:cstheme="majorBidi"/>
          <w:b/>
          <w:bCs/>
          <w:lang w:val="fr-FR"/>
        </w:rPr>
        <w:t>méthode du coude (</w:t>
      </w:r>
      <w:proofErr w:type="spellStart"/>
      <w:r w:rsidRPr="00737ECF">
        <w:rPr>
          <w:rFonts w:asciiTheme="majorBidi" w:hAnsiTheme="majorBidi" w:cstheme="majorBidi"/>
          <w:b/>
          <w:bCs/>
          <w:lang w:val="fr-FR"/>
        </w:rPr>
        <w:t>elbow</w:t>
      </w:r>
      <w:proofErr w:type="spellEnd"/>
      <w:r w:rsidRPr="00737ECF">
        <w:rPr>
          <w:rFonts w:asciiTheme="majorBidi" w:hAnsiTheme="majorBidi" w:cstheme="majorBidi"/>
          <w:b/>
          <w:bCs/>
          <w:lang w:val="fr-FR"/>
        </w:rPr>
        <w:t xml:space="preserve"> </w:t>
      </w:r>
      <w:proofErr w:type="spellStart"/>
      <w:r w:rsidRPr="00737ECF">
        <w:rPr>
          <w:rFonts w:asciiTheme="majorBidi" w:hAnsiTheme="majorBidi" w:cstheme="majorBidi"/>
          <w:b/>
          <w:bCs/>
          <w:lang w:val="fr-FR"/>
        </w:rPr>
        <w:t>method</w:t>
      </w:r>
      <w:proofErr w:type="spellEnd"/>
      <w:r w:rsidRPr="00737ECF">
        <w:rPr>
          <w:rFonts w:asciiTheme="majorBidi" w:hAnsiTheme="majorBidi" w:cstheme="majorBidi"/>
          <w:b/>
          <w:bCs/>
          <w:lang w:val="fr-FR"/>
        </w:rPr>
        <w:t>)</w:t>
      </w:r>
      <w:r w:rsidRPr="00737ECF">
        <w:rPr>
          <w:rFonts w:asciiTheme="majorBidi" w:hAnsiTheme="majorBidi" w:cstheme="majorBidi"/>
          <w:lang w:val="fr-FR"/>
        </w:rPr>
        <w:t xml:space="preserve"> pour déterminer le </w:t>
      </w:r>
      <w:r w:rsidRPr="00737ECF">
        <w:rPr>
          <w:rFonts w:asciiTheme="majorBidi" w:hAnsiTheme="majorBidi" w:cstheme="majorBidi"/>
          <w:b/>
          <w:bCs/>
          <w:lang w:val="fr-FR"/>
        </w:rPr>
        <w:t>nombre optimal de clusters</w:t>
      </w:r>
      <w:r w:rsidRPr="00737ECF">
        <w:rPr>
          <w:rFonts w:asciiTheme="majorBidi" w:hAnsiTheme="majorBidi" w:cstheme="majorBidi"/>
          <w:lang w:val="fr-FR"/>
        </w:rPr>
        <w:t xml:space="preserve"> à utiliser dans une classification non supervisée, en particulier dans un algorithme de </w:t>
      </w:r>
      <w:r w:rsidRPr="00737ECF">
        <w:rPr>
          <w:rFonts w:asciiTheme="majorBidi" w:hAnsiTheme="majorBidi" w:cstheme="majorBidi"/>
          <w:b/>
          <w:bCs/>
          <w:lang w:val="fr-FR"/>
        </w:rPr>
        <w:t>k-</w:t>
      </w:r>
      <w:proofErr w:type="spellStart"/>
      <w:r w:rsidRPr="00737ECF">
        <w:rPr>
          <w:rFonts w:asciiTheme="majorBidi" w:hAnsiTheme="majorBidi" w:cstheme="majorBidi"/>
          <w:b/>
          <w:bCs/>
          <w:lang w:val="fr-FR"/>
        </w:rPr>
        <w:t>means</w:t>
      </w:r>
      <w:proofErr w:type="spellEnd"/>
      <w:r w:rsidRPr="00737ECF">
        <w:rPr>
          <w:rFonts w:asciiTheme="majorBidi" w:hAnsiTheme="majorBidi" w:cstheme="majorBidi"/>
          <w:lang w:val="fr-FR"/>
        </w:rPr>
        <w:t>.</w:t>
      </w:r>
    </w:p>
    <w:p w14:paraId="20188FD4" w14:textId="77777777" w:rsidR="00737ECF" w:rsidRPr="00737ECF" w:rsidRDefault="00737ECF" w:rsidP="00737ECF">
      <w:pPr>
        <w:tabs>
          <w:tab w:val="left" w:pos="6948"/>
        </w:tabs>
        <w:rPr>
          <w:rFonts w:asciiTheme="majorBidi" w:hAnsiTheme="majorBidi" w:cstheme="majorBidi"/>
          <w:lang w:val="fr-FR"/>
        </w:rPr>
      </w:pPr>
      <w:r w:rsidRPr="00737ECF">
        <w:rPr>
          <w:rFonts w:asciiTheme="majorBidi" w:hAnsiTheme="majorBidi" w:cstheme="majorBidi"/>
          <w:lang w:val="fr-FR"/>
        </w:rPr>
        <w:t>Sur l’axe horizontal figure le nombre de clusters testés (k), allant de 1 à 10, tandis que l’axe vertical représente l’</w:t>
      </w:r>
      <w:r w:rsidRPr="00737ECF">
        <w:rPr>
          <w:rFonts w:asciiTheme="majorBidi" w:hAnsiTheme="majorBidi" w:cstheme="majorBidi"/>
          <w:b/>
          <w:bCs/>
          <w:lang w:val="fr-FR"/>
        </w:rPr>
        <w:t>inertie intra-cluster</w:t>
      </w:r>
      <w:r w:rsidRPr="00737ECF">
        <w:rPr>
          <w:rFonts w:asciiTheme="majorBidi" w:hAnsiTheme="majorBidi" w:cstheme="majorBidi"/>
          <w:lang w:val="fr-FR"/>
        </w:rPr>
        <w:t xml:space="preserve">, c’est-à-dire la somme des distances entre les points de données et leur centre de cluster. Cette métrique mesure la </w:t>
      </w:r>
      <w:r w:rsidRPr="00737ECF">
        <w:rPr>
          <w:rFonts w:asciiTheme="majorBidi" w:hAnsiTheme="majorBidi" w:cstheme="majorBidi"/>
          <w:b/>
          <w:bCs/>
          <w:lang w:val="fr-FR"/>
        </w:rPr>
        <w:t>cohésion des clusters</w:t>
      </w:r>
      <w:r w:rsidRPr="00737ECF">
        <w:rPr>
          <w:rFonts w:asciiTheme="majorBidi" w:hAnsiTheme="majorBidi" w:cstheme="majorBidi"/>
          <w:lang w:val="fr-FR"/>
        </w:rPr>
        <w:t xml:space="preserve"> : plus l’inertie est faible, plus les points sont proches de leur centre.</w:t>
      </w:r>
    </w:p>
    <w:p w14:paraId="69526ABD" w14:textId="77777777" w:rsidR="00737ECF" w:rsidRPr="00737ECF" w:rsidRDefault="00737ECF" w:rsidP="00737ECF">
      <w:pPr>
        <w:tabs>
          <w:tab w:val="left" w:pos="6948"/>
        </w:tabs>
        <w:rPr>
          <w:rFonts w:asciiTheme="majorBidi" w:hAnsiTheme="majorBidi" w:cstheme="majorBidi"/>
          <w:lang w:val="fr-FR"/>
        </w:rPr>
      </w:pPr>
      <w:r w:rsidRPr="00737ECF">
        <w:rPr>
          <w:rFonts w:asciiTheme="majorBidi" w:hAnsiTheme="majorBidi" w:cstheme="majorBidi"/>
          <w:lang w:val="fr-FR"/>
        </w:rPr>
        <w:t>On observe que lorsque k augmente :</w:t>
      </w:r>
    </w:p>
    <w:p w14:paraId="19D5D3BE" w14:textId="77777777" w:rsidR="00737ECF" w:rsidRPr="00737ECF" w:rsidRDefault="00737ECF" w:rsidP="00737ECF">
      <w:pPr>
        <w:numPr>
          <w:ilvl w:val="0"/>
          <w:numId w:val="22"/>
        </w:numPr>
        <w:tabs>
          <w:tab w:val="left" w:pos="6948"/>
        </w:tabs>
        <w:rPr>
          <w:rFonts w:asciiTheme="majorBidi" w:hAnsiTheme="majorBidi" w:cstheme="majorBidi"/>
          <w:lang w:val="fr-FR"/>
        </w:rPr>
      </w:pPr>
      <w:r w:rsidRPr="00737ECF">
        <w:rPr>
          <w:rFonts w:asciiTheme="majorBidi" w:hAnsiTheme="majorBidi" w:cstheme="majorBidi"/>
          <w:lang w:val="fr-FR"/>
        </w:rPr>
        <w:t>L’inertie diminue rapidement entre k=1 et k=3, ce qui montre une amélioration significative de la compacité des clusters.</w:t>
      </w:r>
    </w:p>
    <w:p w14:paraId="3B28D5E6" w14:textId="77777777" w:rsidR="00737ECF" w:rsidRPr="00737ECF" w:rsidRDefault="00737ECF" w:rsidP="00737ECF">
      <w:pPr>
        <w:numPr>
          <w:ilvl w:val="0"/>
          <w:numId w:val="22"/>
        </w:numPr>
        <w:tabs>
          <w:tab w:val="left" w:pos="6948"/>
        </w:tabs>
        <w:rPr>
          <w:rFonts w:asciiTheme="majorBidi" w:hAnsiTheme="majorBidi" w:cstheme="majorBidi"/>
          <w:lang w:val="fr-FR"/>
        </w:rPr>
      </w:pPr>
      <w:r w:rsidRPr="00737ECF">
        <w:rPr>
          <w:rFonts w:asciiTheme="majorBidi" w:hAnsiTheme="majorBidi" w:cstheme="majorBidi"/>
          <w:lang w:val="fr-FR"/>
        </w:rPr>
        <w:t>À partir de k=4 ou k=5, la diminution devient plus lente et moins significative.</w:t>
      </w:r>
    </w:p>
    <w:p w14:paraId="28A2A309" w14:textId="77777777" w:rsidR="00737ECF" w:rsidRPr="00737ECF" w:rsidRDefault="00737ECF" w:rsidP="00737ECF">
      <w:pPr>
        <w:numPr>
          <w:ilvl w:val="0"/>
          <w:numId w:val="22"/>
        </w:numPr>
        <w:tabs>
          <w:tab w:val="left" w:pos="6948"/>
        </w:tabs>
        <w:rPr>
          <w:rFonts w:asciiTheme="majorBidi" w:hAnsiTheme="majorBidi" w:cstheme="majorBidi"/>
          <w:lang w:val="fr-FR"/>
        </w:rPr>
      </w:pPr>
      <w:r w:rsidRPr="00737ECF">
        <w:rPr>
          <w:rFonts w:asciiTheme="majorBidi" w:hAnsiTheme="majorBidi" w:cstheme="majorBidi"/>
          <w:lang w:val="fr-FR"/>
        </w:rPr>
        <w:t xml:space="preserve">La courbe forme un "coude" visible autour de </w:t>
      </w:r>
      <w:r w:rsidRPr="00737ECF">
        <w:rPr>
          <w:rFonts w:asciiTheme="majorBidi" w:hAnsiTheme="majorBidi" w:cstheme="majorBidi"/>
          <w:b/>
          <w:bCs/>
          <w:lang w:val="fr-FR"/>
        </w:rPr>
        <w:t>k = 4 ou k = 5</w:t>
      </w:r>
      <w:r w:rsidRPr="00737ECF">
        <w:rPr>
          <w:rFonts w:asciiTheme="majorBidi" w:hAnsiTheme="majorBidi" w:cstheme="majorBidi"/>
          <w:lang w:val="fr-FR"/>
        </w:rPr>
        <w:t xml:space="preserve">, qui correspond au point où l’ajout de nouveaux clusters n’apporte </w:t>
      </w:r>
      <w:r w:rsidRPr="00737ECF">
        <w:rPr>
          <w:rFonts w:asciiTheme="majorBidi" w:hAnsiTheme="majorBidi" w:cstheme="majorBidi"/>
          <w:b/>
          <w:bCs/>
          <w:lang w:val="fr-FR"/>
        </w:rPr>
        <w:t>qu’un gain marginal</w:t>
      </w:r>
      <w:r w:rsidRPr="00737ECF">
        <w:rPr>
          <w:rFonts w:asciiTheme="majorBidi" w:hAnsiTheme="majorBidi" w:cstheme="majorBidi"/>
          <w:lang w:val="fr-FR"/>
        </w:rPr>
        <w:t xml:space="preserve"> en termes de cohésion.</w:t>
      </w:r>
    </w:p>
    <w:p w14:paraId="025558E1" w14:textId="77777777" w:rsidR="00737ECF" w:rsidRPr="00737ECF" w:rsidRDefault="00737ECF" w:rsidP="00737ECF">
      <w:pPr>
        <w:tabs>
          <w:tab w:val="left" w:pos="6948"/>
        </w:tabs>
        <w:rPr>
          <w:rFonts w:asciiTheme="majorBidi" w:hAnsiTheme="majorBidi" w:cstheme="majorBidi"/>
          <w:lang w:val="fr-FR"/>
        </w:rPr>
      </w:pPr>
      <w:r w:rsidRPr="00737ECF">
        <w:rPr>
          <w:rFonts w:asciiTheme="majorBidi" w:hAnsiTheme="majorBidi" w:cstheme="majorBidi"/>
          <w:lang w:val="fr-FR"/>
        </w:rPr>
        <w:t xml:space="preserve">Selon ce graphique, le </w:t>
      </w:r>
      <w:r w:rsidRPr="00737ECF">
        <w:rPr>
          <w:rFonts w:asciiTheme="majorBidi" w:hAnsiTheme="majorBidi" w:cstheme="majorBidi"/>
          <w:b/>
          <w:bCs/>
          <w:lang w:val="fr-FR"/>
        </w:rPr>
        <w:t>nombre optimal de clusters</w:t>
      </w:r>
      <w:r w:rsidRPr="00737ECF">
        <w:rPr>
          <w:rFonts w:asciiTheme="majorBidi" w:hAnsiTheme="majorBidi" w:cstheme="majorBidi"/>
          <w:lang w:val="fr-FR"/>
        </w:rPr>
        <w:t xml:space="preserve"> semble donc être </w:t>
      </w:r>
      <w:r w:rsidRPr="00737ECF">
        <w:rPr>
          <w:rFonts w:asciiTheme="majorBidi" w:hAnsiTheme="majorBidi" w:cstheme="majorBidi"/>
          <w:b/>
          <w:bCs/>
          <w:lang w:val="fr-FR"/>
        </w:rPr>
        <w:t>k = 4 ou k = 5</w:t>
      </w:r>
      <w:r w:rsidRPr="00737ECF">
        <w:rPr>
          <w:rFonts w:asciiTheme="majorBidi" w:hAnsiTheme="majorBidi" w:cstheme="majorBidi"/>
          <w:lang w:val="fr-FR"/>
        </w:rPr>
        <w:t xml:space="preserve">, car c’est à ce niveau que le compromis entre complexité et qualité de regroupement est le plus pertinent. </w:t>
      </w:r>
      <w:r w:rsidRPr="00737ECF">
        <w:rPr>
          <w:rFonts w:asciiTheme="majorBidi" w:hAnsiTheme="majorBidi" w:cstheme="majorBidi"/>
          <w:lang w:val="fr-FR"/>
        </w:rPr>
        <w:lastRenderedPageBreak/>
        <w:t>Choisir un k plus élevé n’apporte qu’une faible réduction de l’inertie au prix d’une complexité accrue.</w:t>
      </w:r>
    </w:p>
    <w:p w14:paraId="125F2598" w14:textId="2FD044CF" w:rsidR="00737ECF" w:rsidRDefault="00737ECF" w:rsidP="00FD79A1">
      <w:pPr>
        <w:tabs>
          <w:tab w:val="left" w:pos="6948"/>
        </w:tabs>
        <w:rPr>
          <w:noProof/>
        </w:rPr>
      </w:pPr>
      <w:r>
        <w:rPr>
          <w:noProof/>
        </w:rPr>
        <w:drawing>
          <wp:inline distT="0" distB="0" distL="0" distR="0" wp14:anchorId="73BD6D92" wp14:editId="230D3EF7">
            <wp:extent cx="5943600" cy="4751705"/>
            <wp:effectExtent l="0" t="0" r="0" b="0"/>
            <wp:docPr id="1314280647" name="Picture 5" descr="A diagram of a cluster of red blue and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80647" name="Picture 5" descr="A diagram of a cluster of red blue and green dot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51705"/>
                    </a:xfrm>
                    <a:prstGeom prst="rect">
                      <a:avLst/>
                    </a:prstGeom>
                    <a:noFill/>
                    <a:ln>
                      <a:noFill/>
                    </a:ln>
                  </pic:spPr>
                </pic:pic>
              </a:graphicData>
            </a:graphic>
          </wp:inline>
        </w:drawing>
      </w:r>
    </w:p>
    <w:p w14:paraId="6B0655AE" w14:textId="77777777" w:rsidR="00737ECF" w:rsidRPr="00737ECF" w:rsidRDefault="00737ECF" w:rsidP="00737ECF">
      <w:pPr>
        <w:ind w:firstLine="720"/>
        <w:rPr>
          <w:rFonts w:asciiTheme="majorBidi" w:hAnsiTheme="majorBidi" w:cstheme="majorBidi"/>
          <w:b/>
          <w:bCs/>
          <w:lang w:val="fr-FR"/>
        </w:rPr>
      </w:pPr>
      <w:r w:rsidRPr="00737ECF">
        <w:rPr>
          <w:rFonts w:asciiTheme="majorBidi" w:hAnsiTheme="majorBidi" w:cstheme="majorBidi"/>
          <w:b/>
          <w:bCs/>
          <w:lang w:val="fr-FR"/>
        </w:rPr>
        <w:t>Répartition des clusters (Glucose vs BMI)</w:t>
      </w:r>
    </w:p>
    <w:p w14:paraId="6D11F2B0" w14:textId="77777777" w:rsidR="00737ECF" w:rsidRPr="00737ECF" w:rsidRDefault="00737ECF" w:rsidP="00737ECF">
      <w:pPr>
        <w:ind w:firstLine="720"/>
        <w:rPr>
          <w:rFonts w:asciiTheme="majorBidi" w:hAnsiTheme="majorBidi" w:cstheme="majorBidi"/>
          <w:lang w:val="fr-FR"/>
        </w:rPr>
      </w:pPr>
      <w:r w:rsidRPr="00737ECF">
        <w:rPr>
          <w:rFonts w:asciiTheme="majorBidi" w:hAnsiTheme="majorBidi" w:cstheme="majorBidi"/>
          <w:lang w:val="fr-FR"/>
        </w:rPr>
        <w:t xml:space="preserve">Le graphique présenté illustre la </w:t>
      </w:r>
      <w:r w:rsidRPr="00737ECF">
        <w:rPr>
          <w:rFonts w:asciiTheme="majorBidi" w:hAnsiTheme="majorBidi" w:cstheme="majorBidi"/>
          <w:b/>
          <w:bCs/>
          <w:lang w:val="fr-FR"/>
        </w:rPr>
        <w:t>répartition des individus</w:t>
      </w:r>
      <w:r w:rsidRPr="00737ECF">
        <w:rPr>
          <w:rFonts w:asciiTheme="majorBidi" w:hAnsiTheme="majorBidi" w:cstheme="majorBidi"/>
          <w:lang w:val="fr-FR"/>
        </w:rPr>
        <w:t xml:space="preserve"> en trois </w:t>
      </w:r>
      <w:r w:rsidRPr="00737ECF">
        <w:rPr>
          <w:rFonts w:asciiTheme="majorBidi" w:hAnsiTheme="majorBidi" w:cstheme="majorBidi"/>
          <w:b/>
          <w:bCs/>
          <w:lang w:val="fr-FR"/>
        </w:rPr>
        <w:t>clusters distincts</w:t>
      </w:r>
      <w:r w:rsidRPr="00737ECF">
        <w:rPr>
          <w:rFonts w:asciiTheme="majorBidi" w:hAnsiTheme="majorBidi" w:cstheme="majorBidi"/>
          <w:lang w:val="fr-FR"/>
        </w:rPr>
        <w:t xml:space="preserve"> obtenus à l’aide de l’algorithme de classification non supervisée </w:t>
      </w:r>
      <w:r w:rsidRPr="00737ECF">
        <w:rPr>
          <w:rFonts w:asciiTheme="majorBidi" w:hAnsiTheme="majorBidi" w:cstheme="majorBidi"/>
          <w:b/>
          <w:bCs/>
          <w:lang w:val="fr-FR"/>
        </w:rPr>
        <w:t>k-</w:t>
      </w:r>
      <w:proofErr w:type="spellStart"/>
      <w:r w:rsidRPr="00737ECF">
        <w:rPr>
          <w:rFonts w:asciiTheme="majorBidi" w:hAnsiTheme="majorBidi" w:cstheme="majorBidi"/>
          <w:b/>
          <w:bCs/>
          <w:lang w:val="fr-FR"/>
        </w:rPr>
        <w:t>means</w:t>
      </w:r>
      <w:proofErr w:type="spellEnd"/>
      <w:r w:rsidRPr="00737ECF">
        <w:rPr>
          <w:rFonts w:asciiTheme="majorBidi" w:hAnsiTheme="majorBidi" w:cstheme="majorBidi"/>
          <w:lang w:val="fr-FR"/>
        </w:rPr>
        <w:t xml:space="preserve">, en fonction de deux variables cliniquement importantes : le </w:t>
      </w:r>
      <w:r w:rsidRPr="00737ECF">
        <w:rPr>
          <w:rFonts w:asciiTheme="majorBidi" w:hAnsiTheme="majorBidi" w:cstheme="majorBidi"/>
          <w:b/>
          <w:bCs/>
          <w:lang w:val="fr-FR"/>
        </w:rPr>
        <w:t>taux de glucose</w:t>
      </w:r>
      <w:r w:rsidRPr="00737ECF">
        <w:rPr>
          <w:rFonts w:asciiTheme="majorBidi" w:hAnsiTheme="majorBidi" w:cstheme="majorBidi"/>
          <w:lang w:val="fr-FR"/>
        </w:rPr>
        <w:t xml:space="preserve"> (en abscisse) et l’</w:t>
      </w:r>
      <w:r w:rsidRPr="00737ECF">
        <w:rPr>
          <w:rFonts w:asciiTheme="majorBidi" w:hAnsiTheme="majorBidi" w:cstheme="majorBidi"/>
          <w:b/>
          <w:bCs/>
          <w:lang w:val="fr-FR"/>
        </w:rPr>
        <w:t>indice de masse corporelle (BMI)</w:t>
      </w:r>
      <w:r w:rsidRPr="00737ECF">
        <w:rPr>
          <w:rFonts w:asciiTheme="majorBidi" w:hAnsiTheme="majorBidi" w:cstheme="majorBidi"/>
          <w:lang w:val="fr-FR"/>
        </w:rPr>
        <w:t xml:space="preserve"> (en ordonnée).</w:t>
      </w:r>
    </w:p>
    <w:p w14:paraId="64983B27" w14:textId="77777777" w:rsidR="00737ECF" w:rsidRPr="00737ECF" w:rsidRDefault="00737ECF" w:rsidP="00737ECF">
      <w:pPr>
        <w:ind w:firstLine="720"/>
        <w:rPr>
          <w:rFonts w:asciiTheme="majorBidi" w:hAnsiTheme="majorBidi" w:cstheme="majorBidi"/>
          <w:lang w:val="fr-FR"/>
        </w:rPr>
      </w:pPr>
      <w:r w:rsidRPr="00737ECF">
        <w:rPr>
          <w:rFonts w:asciiTheme="majorBidi" w:hAnsiTheme="majorBidi" w:cstheme="majorBidi"/>
          <w:lang w:val="fr-FR"/>
        </w:rPr>
        <w:t>Chaque point représente un individu, et la couleur indique le cluster auquel il a été assigné :</w:t>
      </w:r>
    </w:p>
    <w:p w14:paraId="3F2232B1" w14:textId="77777777" w:rsidR="00737ECF" w:rsidRPr="00737ECF" w:rsidRDefault="00737ECF" w:rsidP="00737ECF">
      <w:pPr>
        <w:numPr>
          <w:ilvl w:val="0"/>
          <w:numId w:val="23"/>
        </w:numPr>
        <w:rPr>
          <w:rFonts w:asciiTheme="majorBidi" w:hAnsiTheme="majorBidi" w:cstheme="majorBidi"/>
        </w:rPr>
      </w:pPr>
      <w:r w:rsidRPr="00737ECF">
        <w:rPr>
          <w:rFonts w:ascii="Segoe UI Emoji" w:hAnsi="Segoe UI Emoji" w:cs="Segoe UI Emoji"/>
        </w:rPr>
        <w:t>🔴</w:t>
      </w:r>
      <w:r w:rsidRPr="00737ECF">
        <w:rPr>
          <w:rFonts w:asciiTheme="majorBidi" w:hAnsiTheme="majorBidi" w:cstheme="majorBidi"/>
        </w:rPr>
        <w:t xml:space="preserve"> Cluster 0 (rouge)</w:t>
      </w:r>
    </w:p>
    <w:p w14:paraId="1DFF7CE1" w14:textId="77777777" w:rsidR="00737ECF" w:rsidRPr="00737ECF" w:rsidRDefault="00737ECF" w:rsidP="00737ECF">
      <w:pPr>
        <w:numPr>
          <w:ilvl w:val="0"/>
          <w:numId w:val="23"/>
        </w:numPr>
        <w:rPr>
          <w:rFonts w:asciiTheme="majorBidi" w:hAnsiTheme="majorBidi" w:cstheme="majorBidi"/>
        </w:rPr>
      </w:pPr>
      <w:r w:rsidRPr="00737ECF">
        <w:rPr>
          <w:rFonts w:ascii="Segoe UI Emoji" w:hAnsi="Segoe UI Emoji" w:cs="Segoe UI Emoji"/>
        </w:rPr>
        <w:t>🔵</w:t>
      </w:r>
      <w:r w:rsidRPr="00737ECF">
        <w:rPr>
          <w:rFonts w:asciiTheme="majorBidi" w:hAnsiTheme="majorBidi" w:cstheme="majorBidi"/>
        </w:rPr>
        <w:t xml:space="preserve"> Cluster 1 (bleu)</w:t>
      </w:r>
    </w:p>
    <w:p w14:paraId="6D668FA3" w14:textId="77777777" w:rsidR="00737ECF" w:rsidRPr="00737ECF" w:rsidRDefault="00737ECF" w:rsidP="00737ECF">
      <w:pPr>
        <w:numPr>
          <w:ilvl w:val="0"/>
          <w:numId w:val="23"/>
        </w:numPr>
        <w:rPr>
          <w:rFonts w:asciiTheme="majorBidi" w:hAnsiTheme="majorBidi" w:cstheme="majorBidi"/>
        </w:rPr>
      </w:pPr>
      <w:r w:rsidRPr="00737ECF">
        <w:rPr>
          <w:rFonts w:ascii="Segoe UI Emoji" w:hAnsi="Segoe UI Emoji" w:cs="Segoe UI Emoji"/>
        </w:rPr>
        <w:t>🟢</w:t>
      </w:r>
      <w:r w:rsidRPr="00737ECF">
        <w:rPr>
          <w:rFonts w:asciiTheme="majorBidi" w:hAnsiTheme="majorBidi" w:cstheme="majorBidi"/>
        </w:rPr>
        <w:t xml:space="preserve"> Cluster 2 (vert)</w:t>
      </w:r>
    </w:p>
    <w:p w14:paraId="12A1607F" w14:textId="77777777" w:rsidR="00737ECF" w:rsidRPr="00737ECF" w:rsidRDefault="00737ECF" w:rsidP="00737ECF">
      <w:pPr>
        <w:ind w:firstLine="720"/>
        <w:rPr>
          <w:rFonts w:asciiTheme="majorBidi" w:hAnsiTheme="majorBidi" w:cstheme="majorBidi"/>
          <w:lang w:val="fr-FR"/>
        </w:rPr>
      </w:pPr>
      <w:r w:rsidRPr="00737ECF">
        <w:rPr>
          <w:rFonts w:asciiTheme="majorBidi" w:hAnsiTheme="majorBidi" w:cstheme="majorBidi"/>
          <w:lang w:val="fr-FR"/>
        </w:rPr>
        <w:lastRenderedPageBreak/>
        <w:t>L’analyse du nuage de points montre que :</w:t>
      </w:r>
    </w:p>
    <w:p w14:paraId="53FF9A6A" w14:textId="77777777" w:rsidR="00737ECF" w:rsidRPr="00737ECF" w:rsidRDefault="00737ECF" w:rsidP="00737ECF">
      <w:pPr>
        <w:numPr>
          <w:ilvl w:val="0"/>
          <w:numId w:val="24"/>
        </w:numPr>
        <w:rPr>
          <w:rFonts w:asciiTheme="majorBidi" w:hAnsiTheme="majorBidi" w:cstheme="majorBidi"/>
          <w:lang w:val="fr-FR"/>
        </w:rPr>
      </w:pPr>
      <w:r w:rsidRPr="00737ECF">
        <w:rPr>
          <w:rFonts w:asciiTheme="majorBidi" w:hAnsiTheme="majorBidi" w:cstheme="majorBidi"/>
          <w:lang w:val="fr-FR"/>
        </w:rPr>
        <w:t xml:space="preserve">Le </w:t>
      </w:r>
      <w:r w:rsidRPr="00737ECF">
        <w:rPr>
          <w:rFonts w:asciiTheme="majorBidi" w:hAnsiTheme="majorBidi" w:cstheme="majorBidi"/>
          <w:b/>
          <w:bCs/>
          <w:lang w:val="fr-FR"/>
        </w:rPr>
        <w:t>cluster 0</w:t>
      </w:r>
      <w:r w:rsidRPr="00737ECF">
        <w:rPr>
          <w:rFonts w:asciiTheme="majorBidi" w:hAnsiTheme="majorBidi" w:cstheme="majorBidi"/>
          <w:lang w:val="fr-FR"/>
        </w:rPr>
        <w:t xml:space="preserve"> regroupe majoritairement des individus ayant des </w:t>
      </w:r>
      <w:r w:rsidRPr="00737ECF">
        <w:rPr>
          <w:rFonts w:asciiTheme="majorBidi" w:hAnsiTheme="majorBidi" w:cstheme="majorBidi"/>
          <w:b/>
          <w:bCs/>
          <w:lang w:val="fr-FR"/>
        </w:rPr>
        <w:t>valeurs modérées de glucose (autour de 100–120)</w:t>
      </w:r>
      <w:r w:rsidRPr="00737ECF">
        <w:rPr>
          <w:rFonts w:asciiTheme="majorBidi" w:hAnsiTheme="majorBidi" w:cstheme="majorBidi"/>
          <w:lang w:val="fr-FR"/>
        </w:rPr>
        <w:t xml:space="preserve"> et un </w:t>
      </w:r>
      <w:r w:rsidRPr="00737ECF">
        <w:rPr>
          <w:rFonts w:asciiTheme="majorBidi" w:hAnsiTheme="majorBidi" w:cstheme="majorBidi"/>
          <w:b/>
          <w:bCs/>
          <w:lang w:val="fr-FR"/>
        </w:rPr>
        <w:t>BMI compris entre 25 et 35</w:t>
      </w:r>
      <w:r w:rsidRPr="00737ECF">
        <w:rPr>
          <w:rFonts w:asciiTheme="majorBidi" w:hAnsiTheme="majorBidi" w:cstheme="majorBidi"/>
          <w:lang w:val="fr-FR"/>
        </w:rPr>
        <w:t>, ce qui correspond à une population au profil intermédiaire.</w:t>
      </w:r>
    </w:p>
    <w:p w14:paraId="0FD3A9C8" w14:textId="77777777" w:rsidR="00737ECF" w:rsidRPr="00737ECF" w:rsidRDefault="00737ECF" w:rsidP="00737ECF">
      <w:pPr>
        <w:numPr>
          <w:ilvl w:val="0"/>
          <w:numId w:val="24"/>
        </w:numPr>
        <w:rPr>
          <w:rFonts w:asciiTheme="majorBidi" w:hAnsiTheme="majorBidi" w:cstheme="majorBidi"/>
          <w:lang w:val="fr-FR"/>
        </w:rPr>
      </w:pPr>
      <w:r w:rsidRPr="00737ECF">
        <w:rPr>
          <w:rFonts w:asciiTheme="majorBidi" w:hAnsiTheme="majorBidi" w:cstheme="majorBidi"/>
          <w:lang w:val="fr-FR"/>
        </w:rPr>
        <w:t xml:space="preserve">Le </w:t>
      </w:r>
      <w:r w:rsidRPr="00737ECF">
        <w:rPr>
          <w:rFonts w:asciiTheme="majorBidi" w:hAnsiTheme="majorBidi" w:cstheme="majorBidi"/>
          <w:b/>
          <w:bCs/>
          <w:lang w:val="fr-FR"/>
        </w:rPr>
        <w:t>cluster 1</w:t>
      </w:r>
      <w:r w:rsidRPr="00737ECF">
        <w:rPr>
          <w:rFonts w:asciiTheme="majorBidi" w:hAnsiTheme="majorBidi" w:cstheme="majorBidi"/>
          <w:lang w:val="fr-FR"/>
        </w:rPr>
        <w:t xml:space="preserve"> semble plus dispersé en termes de glucose, mais regroupe des individus avec un </w:t>
      </w:r>
      <w:r w:rsidRPr="00737ECF">
        <w:rPr>
          <w:rFonts w:asciiTheme="majorBidi" w:hAnsiTheme="majorBidi" w:cstheme="majorBidi"/>
          <w:b/>
          <w:bCs/>
          <w:lang w:val="fr-FR"/>
        </w:rPr>
        <w:t>BMI globalement plus élevé</w:t>
      </w:r>
      <w:r w:rsidRPr="00737ECF">
        <w:rPr>
          <w:rFonts w:asciiTheme="majorBidi" w:hAnsiTheme="majorBidi" w:cstheme="majorBidi"/>
          <w:lang w:val="fr-FR"/>
        </w:rPr>
        <w:t xml:space="preserve">, ce qui pourrait suggérer une population en situation de </w:t>
      </w:r>
      <w:r w:rsidRPr="00737ECF">
        <w:rPr>
          <w:rFonts w:asciiTheme="majorBidi" w:hAnsiTheme="majorBidi" w:cstheme="majorBidi"/>
          <w:b/>
          <w:bCs/>
          <w:lang w:val="fr-FR"/>
        </w:rPr>
        <w:t>surpoids avancé ou obésité</w:t>
      </w:r>
      <w:r w:rsidRPr="00737ECF">
        <w:rPr>
          <w:rFonts w:asciiTheme="majorBidi" w:hAnsiTheme="majorBidi" w:cstheme="majorBidi"/>
          <w:lang w:val="fr-FR"/>
        </w:rPr>
        <w:t>, indépendamment du taux de sucre.</w:t>
      </w:r>
    </w:p>
    <w:p w14:paraId="462505E5" w14:textId="77777777" w:rsidR="00737ECF" w:rsidRPr="00737ECF" w:rsidRDefault="00737ECF" w:rsidP="00737ECF">
      <w:pPr>
        <w:numPr>
          <w:ilvl w:val="0"/>
          <w:numId w:val="24"/>
        </w:numPr>
        <w:rPr>
          <w:rFonts w:asciiTheme="majorBidi" w:hAnsiTheme="majorBidi" w:cstheme="majorBidi"/>
          <w:lang w:val="fr-FR"/>
        </w:rPr>
      </w:pPr>
      <w:r w:rsidRPr="00737ECF">
        <w:rPr>
          <w:rFonts w:asciiTheme="majorBidi" w:hAnsiTheme="majorBidi" w:cstheme="majorBidi"/>
          <w:lang w:val="fr-FR"/>
        </w:rPr>
        <w:t xml:space="preserve">Le </w:t>
      </w:r>
      <w:r w:rsidRPr="00737ECF">
        <w:rPr>
          <w:rFonts w:asciiTheme="majorBidi" w:hAnsiTheme="majorBidi" w:cstheme="majorBidi"/>
          <w:b/>
          <w:bCs/>
          <w:lang w:val="fr-FR"/>
        </w:rPr>
        <w:t>cluster 2</w:t>
      </w:r>
      <w:r w:rsidRPr="00737ECF">
        <w:rPr>
          <w:rFonts w:asciiTheme="majorBidi" w:hAnsiTheme="majorBidi" w:cstheme="majorBidi"/>
          <w:lang w:val="fr-FR"/>
        </w:rPr>
        <w:t xml:space="preserve">, quant à lui, regroupe une majorité d’individus ayant des </w:t>
      </w:r>
      <w:r w:rsidRPr="00737ECF">
        <w:rPr>
          <w:rFonts w:asciiTheme="majorBidi" w:hAnsiTheme="majorBidi" w:cstheme="majorBidi"/>
          <w:b/>
          <w:bCs/>
          <w:lang w:val="fr-FR"/>
        </w:rPr>
        <w:t>valeurs élevées de glucose (souvent &gt; 140 mg/</w:t>
      </w:r>
      <w:proofErr w:type="spellStart"/>
      <w:r w:rsidRPr="00737ECF">
        <w:rPr>
          <w:rFonts w:asciiTheme="majorBidi" w:hAnsiTheme="majorBidi" w:cstheme="majorBidi"/>
          <w:b/>
          <w:bCs/>
          <w:lang w:val="fr-FR"/>
        </w:rPr>
        <w:t>dL</w:t>
      </w:r>
      <w:proofErr w:type="spellEnd"/>
      <w:r w:rsidRPr="00737ECF">
        <w:rPr>
          <w:rFonts w:asciiTheme="majorBidi" w:hAnsiTheme="majorBidi" w:cstheme="majorBidi"/>
          <w:b/>
          <w:bCs/>
          <w:lang w:val="fr-FR"/>
        </w:rPr>
        <w:t>)</w:t>
      </w:r>
      <w:r w:rsidRPr="00737ECF">
        <w:rPr>
          <w:rFonts w:asciiTheme="majorBidi" w:hAnsiTheme="majorBidi" w:cstheme="majorBidi"/>
          <w:lang w:val="fr-FR"/>
        </w:rPr>
        <w:t xml:space="preserve">, ce qui pourrait correspondre à une </w:t>
      </w:r>
      <w:r w:rsidRPr="00737ECF">
        <w:rPr>
          <w:rFonts w:asciiTheme="majorBidi" w:hAnsiTheme="majorBidi" w:cstheme="majorBidi"/>
          <w:b/>
          <w:bCs/>
          <w:lang w:val="fr-FR"/>
        </w:rPr>
        <w:t>population à risque diabétique élevé</w:t>
      </w:r>
      <w:r w:rsidRPr="00737ECF">
        <w:rPr>
          <w:rFonts w:asciiTheme="majorBidi" w:hAnsiTheme="majorBidi" w:cstheme="majorBidi"/>
          <w:lang w:val="fr-FR"/>
        </w:rPr>
        <w:t>, même si leur BMI est plus variable.</w:t>
      </w:r>
    </w:p>
    <w:p w14:paraId="155FEA6D" w14:textId="77777777" w:rsidR="00737ECF" w:rsidRPr="00737ECF" w:rsidRDefault="00737ECF" w:rsidP="00737ECF">
      <w:pPr>
        <w:ind w:firstLine="720"/>
        <w:rPr>
          <w:rFonts w:asciiTheme="majorBidi" w:hAnsiTheme="majorBidi" w:cstheme="majorBidi"/>
          <w:lang w:val="fr-FR"/>
        </w:rPr>
      </w:pPr>
      <w:r w:rsidRPr="00737ECF">
        <w:rPr>
          <w:rFonts w:asciiTheme="majorBidi" w:hAnsiTheme="majorBidi" w:cstheme="majorBidi"/>
          <w:lang w:val="fr-FR"/>
        </w:rPr>
        <w:t xml:space="preserve">Ce graphique met donc en évidence l’existence de </w:t>
      </w:r>
      <w:r w:rsidRPr="00737ECF">
        <w:rPr>
          <w:rFonts w:asciiTheme="majorBidi" w:hAnsiTheme="majorBidi" w:cstheme="majorBidi"/>
          <w:b/>
          <w:bCs/>
          <w:lang w:val="fr-FR"/>
        </w:rPr>
        <w:t>groupes distincts dans la population</w:t>
      </w:r>
      <w:r w:rsidRPr="00737ECF">
        <w:rPr>
          <w:rFonts w:asciiTheme="majorBidi" w:hAnsiTheme="majorBidi" w:cstheme="majorBidi"/>
          <w:lang w:val="fr-FR"/>
        </w:rPr>
        <w:t xml:space="preserve"> étudiée, selon des combinaisons particulières de glucose et d’IMC. Ces clusters peuvent être interprétés comme des </w:t>
      </w:r>
      <w:r w:rsidRPr="00737ECF">
        <w:rPr>
          <w:rFonts w:asciiTheme="majorBidi" w:hAnsiTheme="majorBidi" w:cstheme="majorBidi"/>
          <w:b/>
          <w:bCs/>
          <w:lang w:val="fr-FR"/>
        </w:rPr>
        <w:t>profils cliniques</w:t>
      </w:r>
      <w:r w:rsidRPr="00737ECF">
        <w:rPr>
          <w:rFonts w:asciiTheme="majorBidi" w:hAnsiTheme="majorBidi" w:cstheme="majorBidi"/>
          <w:lang w:val="fr-FR"/>
        </w:rPr>
        <w:t xml:space="preserve"> différents, par exemple :</w:t>
      </w:r>
    </w:p>
    <w:p w14:paraId="1BB10EF9" w14:textId="77777777" w:rsidR="00737ECF" w:rsidRPr="00737ECF" w:rsidRDefault="00737ECF" w:rsidP="00737ECF">
      <w:pPr>
        <w:numPr>
          <w:ilvl w:val="0"/>
          <w:numId w:val="25"/>
        </w:numPr>
        <w:rPr>
          <w:rFonts w:asciiTheme="majorBidi" w:hAnsiTheme="majorBidi" w:cstheme="majorBidi"/>
          <w:lang w:val="fr-FR"/>
        </w:rPr>
      </w:pPr>
      <w:proofErr w:type="gramStart"/>
      <w:r w:rsidRPr="00737ECF">
        <w:rPr>
          <w:rFonts w:asciiTheme="majorBidi" w:hAnsiTheme="majorBidi" w:cstheme="majorBidi"/>
          <w:lang w:val="fr-FR"/>
        </w:rPr>
        <w:t>des</w:t>
      </w:r>
      <w:proofErr w:type="gramEnd"/>
      <w:r w:rsidRPr="00737ECF">
        <w:rPr>
          <w:rFonts w:asciiTheme="majorBidi" w:hAnsiTheme="majorBidi" w:cstheme="majorBidi"/>
          <w:lang w:val="fr-FR"/>
        </w:rPr>
        <w:t xml:space="preserve"> patients à faible risque (glucose bas, BMI modéré),</w:t>
      </w:r>
    </w:p>
    <w:p w14:paraId="729822D9" w14:textId="77777777" w:rsidR="00737ECF" w:rsidRPr="00737ECF" w:rsidRDefault="00737ECF" w:rsidP="00737ECF">
      <w:pPr>
        <w:numPr>
          <w:ilvl w:val="0"/>
          <w:numId w:val="25"/>
        </w:numPr>
        <w:rPr>
          <w:rFonts w:asciiTheme="majorBidi" w:hAnsiTheme="majorBidi" w:cstheme="majorBidi"/>
          <w:lang w:val="fr-FR"/>
        </w:rPr>
      </w:pPr>
      <w:proofErr w:type="gramStart"/>
      <w:r w:rsidRPr="00737ECF">
        <w:rPr>
          <w:rFonts w:asciiTheme="majorBidi" w:hAnsiTheme="majorBidi" w:cstheme="majorBidi"/>
          <w:lang w:val="fr-FR"/>
        </w:rPr>
        <w:t>des</w:t>
      </w:r>
      <w:proofErr w:type="gramEnd"/>
      <w:r w:rsidRPr="00737ECF">
        <w:rPr>
          <w:rFonts w:asciiTheme="majorBidi" w:hAnsiTheme="majorBidi" w:cstheme="majorBidi"/>
          <w:lang w:val="fr-FR"/>
        </w:rPr>
        <w:t xml:space="preserve"> patients obèses mais sans hyperglycémie sévère,</w:t>
      </w:r>
    </w:p>
    <w:p w14:paraId="517DC81B" w14:textId="77777777" w:rsidR="00737ECF" w:rsidRPr="00737ECF" w:rsidRDefault="00737ECF" w:rsidP="00737ECF">
      <w:pPr>
        <w:numPr>
          <w:ilvl w:val="0"/>
          <w:numId w:val="25"/>
        </w:numPr>
        <w:rPr>
          <w:rFonts w:asciiTheme="majorBidi" w:hAnsiTheme="majorBidi" w:cstheme="majorBidi"/>
          <w:lang w:val="fr-FR"/>
        </w:rPr>
      </w:pPr>
      <w:proofErr w:type="gramStart"/>
      <w:r w:rsidRPr="00737ECF">
        <w:rPr>
          <w:rFonts w:asciiTheme="majorBidi" w:hAnsiTheme="majorBidi" w:cstheme="majorBidi"/>
          <w:lang w:val="fr-FR"/>
        </w:rPr>
        <w:t>ou</w:t>
      </w:r>
      <w:proofErr w:type="gramEnd"/>
      <w:r w:rsidRPr="00737ECF">
        <w:rPr>
          <w:rFonts w:asciiTheme="majorBidi" w:hAnsiTheme="majorBidi" w:cstheme="majorBidi"/>
          <w:lang w:val="fr-FR"/>
        </w:rPr>
        <w:t xml:space="preserve"> des patients potentiellement diabétiques ou </w:t>
      </w:r>
      <w:proofErr w:type="spellStart"/>
      <w:r w:rsidRPr="00737ECF">
        <w:rPr>
          <w:rFonts w:asciiTheme="majorBidi" w:hAnsiTheme="majorBidi" w:cstheme="majorBidi"/>
          <w:lang w:val="fr-FR"/>
        </w:rPr>
        <w:t>pré-diabétiques</w:t>
      </w:r>
      <w:proofErr w:type="spellEnd"/>
      <w:r w:rsidRPr="00737ECF">
        <w:rPr>
          <w:rFonts w:asciiTheme="majorBidi" w:hAnsiTheme="majorBidi" w:cstheme="majorBidi"/>
          <w:lang w:val="fr-FR"/>
        </w:rPr>
        <w:t>.</w:t>
      </w:r>
    </w:p>
    <w:p w14:paraId="40C28FEE" w14:textId="40BFDE13" w:rsidR="00737ECF" w:rsidRDefault="00737ECF" w:rsidP="00737ECF">
      <w:pPr>
        <w:ind w:firstLine="720"/>
        <w:rPr>
          <w:noProof/>
        </w:rPr>
      </w:pPr>
      <w:r>
        <w:rPr>
          <w:noProof/>
        </w:rPr>
        <w:lastRenderedPageBreak/>
        <w:drawing>
          <wp:inline distT="0" distB="0" distL="0" distR="0" wp14:anchorId="1F050FE2" wp14:editId="5785E98B">
            <wp:extent cx="5943600" cy="4728845"/>
            <wp:effectExtent l="0" t="0" r="0" b="0"/>
            <wp:docPr id="1885634008" name="Picture 6"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34008" name="Picture 6" descr="A screen shot of a graph&#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28845"/>
                    </a:xfrm>
                    <a:prstGeom prst="rect">
                      <a:avLst/>
                    </a:prstGeom>
                    <a:noFill/>
                    <a:ln>
                      <a:noFill/>
                    </a:ln>
                  </pic:spPr>
                </pic:pic>
              </a:graphicData>
            </a:graphic>
          </wp:inline>
        </w:drawing>
      </w:r>
    </w:p>
    <w:p w14:paraId="0A29D921" w14:textId="77777777" w:rsidR="00737ECF" w:rsidRPr="00737ECF" w:rsidRDefault="00737ECF" w:rsidP="00737ECF">
      <w:pPr>
        <w:rPr>
          <w:rFonts w:asciiTheme="majorBidi" w:hAnsiTheme="majorBidi" w:cstheme="majorBidi"/>
          <w:lang w:val="fr-FR"/>
        </w:rPr>
      </w:pPr>
    </w:p>
    <w:p w14:paraId="57972792" w14:textId="77777777" w:rsidR="00737ECF" w:rsidRDefault="00737ECF" w:rsidP="00737ECF">
      <w:pPr>
        <w:rPr>
          <w:noProof/>
        </w:rPr>
      </w:pPr>
    </w:p>
    <w:p w14:paraId="2CC68D30" w14:textId="77777777" w:rsidR="00737ECF" w:rsidRPr="00737ECF" w:rsidRDefault="00737ECF" w:rsidP="00737ECF">
      <w:pPr>
        <w:tabs>
          <w:tab w:val="left" w:pos="1608"/>
        </w:tabs>
        <w:rPr>
          <w:rFonts w:asciiTheme="majorBidi" w:hAnsiTheme="majorBidi"/>
          <w:b/>
          <w:bCs/>
        </w:rPr>
      </w:pPr>
      <w:r>
        <w:rPr>
          <w:rFonts w:asciiTheme="majorBidi" w:hAnsiTheme="majorBidi" w:cstheme="majorBidi"/>
          <w:lang w:val="fr-FR"/>
        </w:rPr>
        <w:tab/>
      </w:r>
      <w:proofErr w:type="spellStart"/>
      <w:r w:rsidRPr="00737ECF">
        <w:rPr>
          <w:rFonts w:asciiTheme="majorBidi" w:hAnsiTheme="majorBidi"/>
          <w:b/>
          <w:bCs/>
        </w:rPr>
        <w:t>Visualisation</w:t>
      </w:r>
      <w:proofErr w:type="spellEnd"/>
      <w:r w:rsidRPr="00737ECF">
        <w:rPr>
          <w:rFonts w:asciiTheme="majorBidi" w:hAnsiTheme="majorBidi"/>
          <w:b/>
          <w:bCs/>
        </w:rPr>
        <w:t xml:space="preserve"> des clusters par </w:t>
      </w:r>
      <w:proofErr w:type="spellStart"/>
      <w:proofErr w:type="gramStart"/>
      <w:r w:rsidRPr="00737ECF">
        <w:rPr>
          <w:rFonts w:asciiTheme="majorBidi" w:hAnsiTheme="majorBidi"/>
          <w:b/>
          <w:bCs/>
        </w:rPr>
        <w:t>analyse</w:t>
      </w:r>
      <w:proofErr w:type="spellEnd"/>
      <w:proofErr w:type="gramEnd"/>
      <w:r w:rsidRPr="00737ECF">
        <w:rPr>
          <w:rFonts w:asciiTheme="majorBidi" w:hAnsiTheme="majorBidi"/>
          <w:b/>
          <w:bCs/>
        </w:rPr>
        <w:t xml:space="preserve"> </w:t>
      </w:r>
      <w:proofErr w:type="spellStart"/>
      <w:r w:rsidRPr="00737ECF">
        <w:rPr>
          <w:rFonts w:asciiTheme="majorBidi" w:hAnsiTheme="majorBidi"/>
          <w:b/>
          <w:bCs/>
        </w:rPr>
        <w:t>en</w:t>
      </w:r>
      <w:proofErr w:type="spellEnd"/>
      <w:r w:rsidRPr="00737ECF">
        <w:rPr>
          <w:rFonts w:asciiTheme="majorBidi" w:hAnsiTheme="majorBidi"/>
          <w:b/>
          <w:bCs/>
        </w:rPr>
        <w:t xml:space="preserve"> </w:t>
      </w:r>
      <w:proofErr w:type="spellStart"/>
      <w:r w:rsidRPr="00737ECF">
        <w:rPr>
          <w:rFonts w:asciiTheme="majorBidi" w:hAnsiTheme="majorBidi"/>
          <w:b/>
          <w:bCs/>
        </w:rPr>
        <w:t>composantes</w:t>
      </w:r>
      <w:proofErr w:type="spellEnd"/>
      <w:r w:rsidRPr="00737ECF">
        <w:rPr>
          <w:rFonts w:asciiTheme="majorBidi" w:hAnsiTheme="majorBidi"/>
          <w:b/>
          <w:bCs/>
        </w:rPr>
        <w:t xml:space="preserve"> </w:t>
      </w:r>
      <w:proofErr w:type="spellStart"/>
      <w:r w:rsidRPr="00737ECF">
        <w:rPr>
          <w:rFonts w:asciiTheme="majorBidi" w:hAnsiTheme="majorBidi"/>
          <w:b/>
          <w:bCs/>
        </w:rPr>
        <w:t>principales</w:t>
      </w:r>
      <w:proofErr w:type="spellEnd"/>
      <w:r w:rsidRPr="00737ECF">
        <w:rPr>
          <w:rFonts w:asciiTheme="majorBidi" w:hAnsiTheme="majorBidi"/>
          <w:b/>
          <w:bCs/>
        </w:rPr>
        <w:t xml:space="preserve"> (PCA)</w:t>
      </w:r>
    </w:p>
    <w:p w14:paraId="582327A7" w14:textId="77777777" w:rsidR="00737ECF" w:rsidRPr="00737ECF" w:rsidRDefault="00737ECF" w:rsidP="00737ECF">
      <w:pPr>
        <w:tabs>
          <w:tab w:val="left" w:pos="1608"/>
        </w:tabs>
        <w:rPr>
          <w:rFonts w:asciiTheme="majorBidi" w:hAnsiTheme="majorBidi" w:cstheme="majorBidi"/>
        </w:rPr>
      </w:pPr>
      <w:r w:rsidRPr="00737ECF">
        <w:rPr>
          <w:rFonts w:asciiTheme="majorBidi" w:hAnsiTheme="majorBidi" w:cstheme="majorBidi"/>
        </w:rPr>
        <w:t xml:space="preserve">Le </w:t>
      </w:r>
      <w:proofErr w:type="spellStart"/>
      <w:r w:rsidRPr="00737ECF">
        <w:rPr>
          <w:rFonts w:asciiTheme="majorBidi" w:hAnsiTheme="majorBidi" w:cstheme="majorBidi"/>
        </w:rPr>
        <w:t>graphique</w:t>
      </w:r>
      <w:proofErr w:type="spellEnd"/>
      <w:r w:rsidRPr="00737ECF">
        <w:rPr>
          <w:rFonts w:asciiTheme="majorBidi" w:hAnsiTheme="majorBidi" w:cstheme="majorBidi"/>
        </w:rPr>
        <w:t xml:space="preserve"> ci-dessus </w:t>
      </w:r>
      <w:proofErr w:type="spellStart"/>
      <w:r w:rsidRPr="00737ECF">
        <w:rPr>
          <w:rFonts w:asciiTheme="majorBidi" w:hAnsiTheme="majorBidi" w:cstheme="majorBidi"/>
        </w:rPr>
        <w:t>représente</w:t>
      </w:r>
      <w:proofErr w:type="spellEnd"/>
      <w:r w:rsidRPr="00737ECF">
        <w:rPr>
          <w:rFonts w:asciiTheme="majorBidi" w:hAnsiTheme="majorBidi" w:cstheme="majorBidi"/>
        </w:rPr>
        <w:t xml:space="preserve"> la </w:t>
      </w:r>
      <w:r w:rsidRPr="00737ECF">
        <w:rPr>
          <w:rFonts w:asciiTheme="majorBidi" w:hAnsiTheme="majorBidi" w:cstheme="majorBidi"/>
          <w:b/>
          <w:bCs/>
        </w:rPr>
        <w:t xml:space="preserve">projection des </w:t>
      </w:r>
      <w:proofErr w:type="spellStart"/>
      <w:r w:rsidRPr="00737ECF">
        <w:rPr>
          <w:rFonts w:asciiTheme="majorBidi" w:hAnsiTheme="majorBidi" w:cstheme="majorBidi"/>
          <w:b/>
          <w:bCs/>
        </w:rPr>
        <w:t>individus</w:t>
      </w:r>
      <w:proofErr w:type="spellEnd"/>
      <w:r w:rsidRPr="00737ECF">
        <w:rPr>
          <w:rFonts w:asciiTheme="majorBidi" w:hAnsiTheme="majorBidi" w:cstheme="majorBidi"/>
          <w:b/>
          <w:bCs/>
        </w:rPr>
        <w:t xml:space="preserve"> dans un plan à deux dimensions</w:t>
      </w:r>
      <w:r w:rsidRPr="00737ECF">
        <w:rPr>
          <w:rFonts w:asciiTheme="majorBidi" w:hAnsiTheme="majorBidi" w:cstheme="majorBidi"/>
        </w:rPr>
        <w:t xml:space="preserve"> à </w:t>
      </w:r>
      <w:proofErr w:type="spellStart"/>
      <w:r w:rsidRPr="00737ECF">
        <w:rPr>
          <w:rFonts w:asciiTheme="majorBidi" w:hAnsiTheme="majorBidi" w:cstheme="majorBidi"/>
        </w:rPr>
        <w:t>l’aide</w:t>
      </w:r>
      <w:proofErr w:type="spellEnd"/>
      <w:r w:rsidRPr="00737ECF">
        <w:rPr>
          <w:rFonts w:asciiTheme="majorBidi" w:hAnsiTheme="majorBidi" w:cstheme="majorBidi"/>
        </w:rPr>
        <w:t xml:space="preserve"> de la </w:t>
      </w:r>
      <w:r w:rsidRPr="00737ECF">
        <w:rPr>
          <w:rFonts w:asciiTheme="majorBidi" w:hAnsiTheme="majorBidi" w:cstheme="majorBidi"/>
          <w:b/>
          <w:bCs/>
        </w:rPr>
        <w:t>PCA (</w:t>
      </w:r>
      <w:proofErr w:type="spellStart"/>
      <w:r w:rsidRPr="00737ECF">
        <w:rPr>
          <w:rFonts w:asciiTheme="majorBidi" w:hAnsiTheme="majorBidi" w:cstheme="majorBidi"/>
          <w:b/>
          <w:bCs/>
        </w:rPr>
        <w:t>Analyse</w:t>
      </w:r>
      <w:proofErr w:type="spellEnd"/>
      <w:r w:rsidRPr="00737ECF">
        <w:rPr>
          <w:rFonts w:asciiTheme="majorBidi" w:hAnsiTheme="majorBidi" w:cstheme="majorBidi"/>
          <w:b/>
          <w:bCs/>
        </w:rPr>
        <w:t xml:space="preserve"> </w:t>
      </w:r>
      <w:proofErr w:type="spellStart"/>
      <w:r w:rsidRPr="00737ECF">
        <w:rPr>
          <w:rFonts w:asciiTheme="majorBidi" w:hAnsiTheme="majorBidi" w:cstheme="majorBidi"/>
          <w:b/>
          <w:bCs/>
        </w:rPr>
        <w:t>en</w:t>
      </w:r>
      <w:proofErr w:type="spellEnd"/>
      <w:r w:rsidRPr="00737ECF">
        <w:rPr>
          <w:rFonts w:asciiTheme="majorBidi" w:hAnsiTheme="majorBidi" w:cstheme="majorBidi"/>
          <w:b/>
          <w:bCs/>
        </w:rPr>
        <w:t xml:space="preserve"> </w:t>
      </w:r>
      <w:proofErr w:type="spellStart"/>
      <w:r w:rsidRPr="00737ECF">
        <w:rPr>
          <w:rFonts w:asciiTheme="majorBidi" w:hAnsiTheme="majorBidi" w:cstheme="majorBidi"/>
          <w:b/>
          <w:bCs/>
        </w:rPr>
        <w:t>Composantes</w:t>
      </w:r>
      <w:proofErr w:type="spellEnd"/>
      <w:r w:rsidRPr="00737ECF">
        <w:rPr>
          <w:rFonts w:asciiTheme="majorBidi" w:hAnsiTheme="majorBidi" w:cstheme="majorBidi"/>
          <w:b/>
          <w:bCs/>
        </w:rPr>
        <w:t xml:space="preserve"> </w:t>
      </w:r>
      <w:proofErr w:type="spellStart"/>
      <w:r w:rsidRPr="00737ECF">
        <w:rPr>
          <w:rFonts w:asciiTheme="majorBidi" w:hAnsiTheme="majorBidi" w:cstheme="majorBidi"/>
          <w:b/>
          <w:bCs/>
        </w:rPr>
        <w:t>Principales</w:t>
      </w:r>
      <w:proofErr w:type="spellEnd"/>
      <w:r w:rsidRPr="00737ECF">
        <w:rPr>
          <w:rFonts w:asciiTheme="majorBidi" w:hAnsiTheme="majorBidi" w:cstheme="majorBidi"/>
          <w:b/>
          <w:bCs/>
        </w:rPr>
        <w:t>)</w:t>
      </w:r>
      <w:r w:rsidRPr="00737ECF">
        <w:rPr>
          <w:rFonts w:asciiTheme="majorBidi" w:hAnsiTheme="majorBidi" w:cstheme="majorBidi"/>
        </w:rPr>
        <w:t xml:space="preserve">, </w:t>
      </w:r>
      <w:proofErr w:type="spellStart"/>
      <w:r w:rsidRPr="00737ECF">
        <w:rPr>
          <w:rFonts w:asciiTheme="majorBidi" w:hAnsiTheme="majorBidi" w:cstheme="majorBidi"/>
        </w:rPr>
        <w:t>une</w:t>
      </w:r>
      <w:proofErr w:type="spellEnd"/>
      <w:r w:rsidRPr="00737ECF">
        <w:rPr>
          <w:rFonts w:asciiTheme="majorBidi" w:hAnsiTheme="majorBidi" w:cstheme="majorBidi"/>
        </w:rPr>
        <w:t xml:space="preserve"> technique de </w:t>
      </w:r>
      <w:proofErr w:type="spellStart"/>
      <w:r w:rsidRPr="00737ECF">
        <w:rPr>
          <w:rFonts w:asciiTheme="majorBidi" w:hAnsiTheme="majorBidi" w:cstheme="majorBidi"/>
        </w:rPr>
        <w:t>réduction</w:t>
      </w:r>
      <w:proofErr w:type="spellEnd"/>
      <w:r w:rsidRPr="00737ECF">
        <w:rPr>
          <w:rFonts w:asciiTheme="majorBidi" w:hAnsiTheme="majorBidi" w:cstheme="majorBidi"/>
        </w:rPr>
        <w:t xml:space="preserve"> de dimension. Cette </w:t>
      </w:r>
      <w:proofErr w:type="spellStart"/>
      <w:r w:rsidRPr="00737ECF">
        <w:rPr>
          <w:rFonts w:asciiTheme="majorBidi" w:hAnsiTheme="majorBidi" w:cstheme="majorBidi"/>
        </w:rPr>
        <w:t>méthode</w:t>
      </w:r>
      <w:proofErr w:type="spellEnd"/>
      <w:r w:rsidRPr="00737ECF">
        <w:rPr>
          <w:rFonts w:asciiTheme="majorBidi" w:hAnsiTheme="majorBidi" w:cstheme="majorBidi"/>
        </w:rPr>
        <w:t xml:space="preserve"> </w:t>
      </w:r>
      <w:proofErr w:type="spellStart"/>
      <w:r w:rsidRPr="00737ECF">
        <w:rPr>
          <w:rFonts w:asciiTheme="majorBidi" w:hAnsiTheme="majorBidi" w:cstheme="majorBidi"/>
        </w:rPr>
        <w:t>permet</w:t>
      </w:r>
      <w:proofErr w:type="spellEnd"/>
      <w:r w:rsidRPr="00737ECF">
        <w:rPr>
          <w:rFonts w:asciiTheme="majorBidi" w:hAnsiTheme="majorBidi" w:cstheme="majorBidi"/>
        </w:rPr>
        <w:t xml:space="preserve"> de </w:t>
      </w:r>
      <w:proofErr w:type="spellStart"/>
      <w:r w:rsidRPr="00737ECF">
        <w:rPr>
          <w:rFonts w:asciiTheme="majorBidi" w:hAnsiTheme="majorBidi" w:cstheme="majorBidi"/>
          <w:b/>
          <w:bCs/>
        </w:rPr>
        <w:t>résumer</w:t>
      </w:r>
      <w:proofErr w:type="spellEnd"/>
      <w:r w:rsidRPr="00737ECF">
        <w:rPr>
          <w:rFonts w:asciiTheme="majorBidi" w:hAnsiTheme="majorBidi" w:cstheme="majorBidi"/>
          <w:b/>
          <w:bCs/>
        </w:rPr>
        <w:t xml:space="preserve"> </w:t>
      </w:r>
      <w:proofErr w:type="spellStart"/>
      <w:r w:rsidRPr="00737ECF">
        <w:rPr>
          <w:rFonts w:asciiTheme="majorBidi" w:hAnsiTheme="majorBidi" w:cstheme="majorBidi"/>
          <w:b/>
          <w:bCs/>
        </w:rPr>
        <w:t>l’information</w:t>
      </w:r>
      <w:proofErr w:type="spellEnd"/>
      <w:r w:rsidRPr="00737ECF">
        <w:rPr>
          <w:rFonts w:asciiTheme="majorBidi" w:hAnsiTheme="majorBidi" w:cstheme="majorBidi"/>
          <w:b/>
          <w:bCs/>
        </w:rPr>
        <w:t xml:space="preserve"> </w:t>
      </w:r>
      <w:proofErr w:type="spellStart"/>
      <w:r w:rsidRPr="00737ECF">
        <w:rPr>
          <w:rFonts w:asciiTheme="majorBidi" w:hAnsiTheme="majorBidi" w:cstheme="majorBidi"/>
          <w:b/>
          <w:bCs/>
        </w:rPr>
        <w:t>contenue</w:t>
      </w:r>
      <w:proofErr w:type="spellEnd"/>
      <w:r w:rsidRPr="00737ECF">
        <w:rPr>
          <w:rFonts w:asciiTheme="majorBidi" w:hAnsiTheme="majorBidi" w:cstheme="majorBidi"/>
          <w:b/>
          <w:bCs/>
        </w:rPr>
        <w:t xml:space="preserve"> dans </w:t>
      </w:r>
      <w:proofErr w:type="spellStart"/>
      <w:r w:rsidRPr="00737ECF">
        <w:rPr>
          <w:rFonts w:asciiTheme="majorBidi" w:hAnsiTheme="majorBidi" w:cstheme="majorBidi"/>
          <w:b/>
          <w:bCs/>
        </w:rPr>
        <w:t>plusieurs</w:t>
      </w:r>
      <w:proofErr w:type="spellEnd"/>
      <w:r w:rsidRPr="00737ECF">
        <w:rPr>
          <w:rFonts w:asciiTheme="majorBidi" w:hAnsiTheme="majorBidi" w:cstheme="majorBidi"/>
          <w:b/>
          <w:bCs/>
        </w:rPr>
        <w:t xml:space="preserve"> variables </w:t>
      </w:r>
      <w:proofErr w:type="spellStart"/>
      <w:r w:rsidRPr="00737ECF">
        <w:rPr>
          <w:rFonts w:asciiTheme="majorBidi" w:hAnsiTheme="majorBidi" w:cstheme="majorBidi"/>
          <w:b/>
          <w:bCs/>
        </w:rPr>
        <w:t>initiales</w:t>
      </w:r>
      <w:proofErr w:type="spellEnd"/>
      <w:r w:rsidRPr="00737ECF">
        <w:rPr>
          <w:rFonts w:asciiTheme="majorBidi" w:hAnsiTheme="majorBidi" w:cstheme="majorBidi"/>
        </w:rPr>
        <w:t xml:space="preserve"> (par </w:t>
      </w:r>
      <w:proofErr w:type="spellStart"/>
      <w:r w:rsidRPr="00737ECF">
        <w:rPr>
          <w:rFonts w:asciiTheme="majorBidi" w:hAnsiTheme="majorBidi" w:cstheme="majorBidi"/>
        </w:rPr>
        <w:t>exemple</w:t>
      </w:r>
      <w:proofErr w:type="spellEnd"/>
      <w:r w:rsidRPr="00737ECF">
        <w:rPr>
          <w:rFonts w:asciiTheme="majorBidi" w:hAnsiTheme="majorBidi" w:cstheme="majorBidi"/>
        </w:rPr>
        <w:t xml:space="preserve"> : glucose, BMI, </w:t>
      </w:r>
      <w:proofErr w:type="spellStart"/>
      <w:r w:rsidRPr="00737ECF">
        <w:rPr>
          <w:rFonts w:asciiTheme="majorBidi" w:hAnsiTheme="majorBidi" w:cstheme="majorBidi"/>
        </w:rPr>
        <w:t>insuline</w:t>
      </w:r>
      <w:proofErr w:type="spellEnd"/>
      <w:r w:rsidRPr="00737ECF">
        <w:rPr>
          <w:rFonts w:asciiTheme="majorBidi" w:hAnsiTheme="majorBidi" w:cstheme="majorBidi"/>
        </w:rPr>
        <w:t xml:space="preserve">, etc.) </w:t>
      </w:r>
      <w:proofErr w:type="spellStart"/>
      <w:r w:rsidRPr="00737ECF">
        <w:rPr>
          <w:rFonts w:asciiTheme="majorBidi" w:hAnsiTheme="majorBidi" w:cstheme="majorBidi"/>
        </w:rPr>
        <w:t>en</w:t>
      </w:r>
      <w:proofErr w:type="spellEnd"/>
      <w:r w:rsidRPr="00737ECF">
        <w:rPr>
          <w:rFonts w:asciiTheme="majorBidi" w:hAnsiTheme="majorBidi" w:cstheme="majorBidi"/>
        </w:rPr>
        <w:t xml:space="preserve"> deux axes </w:t>
      </w:r>
      <w:proofErr w:type="spellStart"/>
      <w:r w:rsidRPr="00737ECF">
        <w:rPr>
          <w:rFonts w:asciiTheme="majorBidi" w:hAnsiTheme="majorBidi" w:cstheme="majorBidi"/>
        </w:rPr>
        <w:t>principaux</w:t>
      </w:r>
      <w:proofErr w:type="spellEnd"/>
      <w:r w:rsidRPr="00737ECF">
        <w:rPr>
          <w:rFonts w:asciiTheme="majorBidi" w:hAnsiTheme="majorBidi" w:cstheme="majorBidi"/>
        </w:rPr>
        <w:t xml:space="preserve">, </w:t>
      </w:r>
      <w:proofErr w:type="spellStart"/>
      <w:r w:rsidRPr="00737ECF">
        <w:rPr>
          <w:rFonts w:asciiTheme="majorBidi" w:hAnsiTheme="majorBidi" w:cstheme="majorBidi"/>
        </w:rPr>
        <w:t>nommés</w:t>
      </w:r>
      <w:proofErr w:type="spellEnd"/>
      <w:r w:rsidRPr="00737ECF">
        <w:rPr>
          <w:rFonts w:asciiTheme="majorBidi" w:hAnsiTheme="majorBidi" w:cstheme="majorBidi"/>
        </w:rPr>
        <w:t xml:space="preserve"> </w:t>
      </w:r>
      <w:proofErr w:type="spellStart"/>
      <w:r w:rsidRPr="00737ECF">
        <w:rPr>
          <w:rFonts w:asciiTheme="majorBidi" w:hAnsiTheme="majorBidi" w:cstheme="majorBidi"/>
        </w:rPr>
        <w:t>ici</w:t>
      </w:r>
      <w:proofErr w:type="spellEnd"/>
      <w:r w:rsidRPr="00737ECF">
        <w:rPr>
          <w:rFonts w:asciiTheme="majorBidi" w:hAnsiTheme="majorBidi" w:cstheme="majorBidi"/>
        </w:rPr>
        <w:t xml:space="preserve"> </w:t>
      </w:r>
      <w:r w:rsidRPr="00737ECF">
        <w:rPr>
          <w:rFonts w:asciiTheme="majorBidi" w:hAnsiTheme="majorBidi" w:cstheme="majorBidi"/>
          <w:b/>
          <w:bCs/>
        </w:rPr>
        <w:t>PCA1</w:t>
      </w:r>
      <w:r w:rsidRPr="00737ECF">
        <w:rPr>
          <w:rFonts w:asciiTheme="majorBidi" w:hAnsiTheme="majorBidi" w:cstheme="majorBidi"/>
        </w:rPr>
        <w:t xml:space="preserve"> et </w:t>
      </w:r>
      <w:r w:rsidRPr="00737ECF">
        <w:rPr>
          <w:rFonts w:asciiTheme="majorBidi" w:hAnsiTheme="majorBidi" w:cstheme="majorBidi"/>
          <w:b/>
          <w:bCs/>
        </w:rPr>
        <w:t>PCA2</w:t>
      </w:r>
      <w:r w:rsidRPr="00737ECF">
        <w:rPr>
          <w:rFonts w:asciiTheme="majorBidi" w:hAnsiTheme="majorBidi" w:cstheme="majorBidi"/>
        </w:rPr>
        <w:t xml:space="preserve">, qui </w:t>
      </w:r>
      <w:proofErr w:type="spellStart"/>
      <w:r w:rsidRPr="00737ECF">
        <w:rPr>
          <w:rFonts w:asciiTheme="majorBidi" w:hAnsiTheme="majorBidi" w:cstheme="majorBidi"/>
        </w:rPr>
        <w:t>capturent</w:t>
      </w:r>
      <w:proofErr w:type="spellEnd"/>
      <w:r w:rsidRPr="00737ECF">
        <w:rPr>
          <w:rFonts w:asciiTheme="majorBidi" w:hAnsiTheme="majorBidi" w:cstheme="majorBidi"/>
        </w:rPr>
        <w:t xml:space="preserve"> la plus </w:t>
      </w:r>
      <w:proofErr w:type="spellStart"/>
      <w:r w:rsidRPr="00737ECF">
        <w:rPr>
          <w:rFonts w:asciiTheme="majorBidi" w:hAnsiTheme="majorBidi" w:cstheme="majorBidi"/>
        </w:rPr>
        <w:t>grande</w:t>
      </w:r>
      <w:proofErr w:type="spellEnd"/>
      <w:r w:rsidRPr="00737ECF">
        <w:rPr>
          <w:rFonts w:asciiTheme="majorBidi" w:hAnsiTheme="majorBidi" w:cstheme="majorBidi"/>
        </w:rPr>
        <w:t xml:space="preserve"> part de variance du jeu de données.</w:t>
      </w:r>
    </w:p>
    <w:p w14:paraId="57B51ADE" w14:textId="77777777" w:rsidR="00737ECF" w:rsidRPr="00737ECF" w:rsidRDefault="00737ECF" w:rsidP="00737ECF">
      <w:pPr>
        <w:tabs>
          <w:tab w:val="left" w:pos="1608"/>
        </w:tabs>
        <w:rPr>
          <w:rFonts w:asciiTheme="majorBidi" w:hAnsiTheme="majorBidi" w:cstheme="majorBidi"/>
        </w:rPr>
      </w:pPr>
      <w:r w:rsidRPr="00737ECF">
        <w:rPr>
          <w:rFonts w:asciiTheme="majorBidi" w:hAnsiTheme="majorBidi" w:cstheme="majorBidi"/>
        </w:rPr>
        <w:t xml:space="preserve">Les points </w:t>
      </w:r>
      <w:proofErr w:type="spellStart"/>
      <w:r w:rsidRPr="00737ECF">
        <w:rPr>
          <w:rFonts w:asciiTheme="majorBidi" w:hAnsiTheme="majorBidi" w:cstheme="majorBidi"/>
        </w:rPr>
        <w:t>sont</w:t>
      </w:r>
      <w:proofErr w:type="spellEnd"/>
      <w:r w:rsidRPr="00737ECF">
        <w:rPr>
          <w:rFonts w:asciiTheme="majorBidi" w:hAnsiTheme="majorBidi" w:cstheme="majorBidi"/>
        </w:rPr>
        <w:t xml:space="preserve"> </w:t>
      </w:r>
      <w:proofErr w:type="spellStart"/>
      <w:r w:rsidRPr="00737ECF">
        <w:rPr>
          <w:rFonts w:asciiTheme="majorBidi" w:hAnsiTheme="majorBidi" w:cstheme="majorBidi"/>
        </w:rPr>
        <w:t>colorés</w:t>
      </w:r>
      <w:proofErr w:type="spellEnd"/>
      <w:r w:rsidRPr="00737ECF">
        <w:rPr>
          <w:rFonts w:asciiTheme="majorBidi" w:hAnsiTheme="majorBidi" w:cstheme="majorBidi"/>
        </w:rPr>
        <w:t xml:space="preserve"> </w:t>
      </w:r>
      <w:proofErr w:type="spellStart"/>
      <w:r w:rsidRPr="00737ECF">
        <w:rPr>
          <w:rFonts w:asciiTheme="majorBidi" w:hAnsiTheme="majorBidi" w:cstheme="majorBidi"/>
        </w:rPr>
        <w:t>selon</w:t>
      </w:r>
      <w:proofErr w:type="spellEnd"/>
      <w:r w:rsidRPr="00737ECF">
        <w:rPr>
          <w:rFonts w:asciiTheme="majorBidi" w:hAnsiTheme="majorBidi" w:cstheme="majorBidi"/>
        </w:rPr>
        <w:t xml:space="preserve"> </w:t>
      </w:r>
      <w:proofErr w:type="spellStart"/>
      <w:r w:rsidRPr="00737ECF">
        <w:rPr>
          <w:rFonts w:asciiTheme="majorBidi" w:hAnsiTheme="majorBidi" w:cstheme="majorBidi"/>
        </w:rPr>
        <w:t>leur</w:t>
      </w:r>
      <w:proofErr w:type="spellEnd"/>
      <w:r w:rsidRPr="00737ECF">
        <w:rPr>
          <w:rFonts w:asciiTheme="majorBidi" w:hAnsiTheme="majorBidi" w:cstheme="majorBidi"/>
        </w:rPr>
        <w:t xml:space="preserve"> </w:t>
      </w:r>
      <w:r w:rsidRPr="00737ECF">
        <w:rPr>
          <w:rFonts w:asciiTheme="majorBidi" w:hAnsiTheme="majorBidi" w:cstheme="majorBidi"/>
          <w:b/>
          <w:bCs/>
        </w:rPr>
        <w:t xml:space="preserve">cluster </w:t>
      </w:r>
      <w:proofErr w:type="spellStart"/>
      <w:r w:rsidRPr="00737ECF">
        <w:rPr>
          <w:rFonts w:asciiTheme="majorBidi" w:hAnsiTheme="majorBidi" w:cstheme="majorBidi"/>
          <w:b/>
          <w:bCs/>
        </w:rPr>
        <w:t>d’appartenance</w:t>
      </w:r>
      <w:proofErr w:type="spellEnd"/>
      <w:r w:rsidRPr="00737ECF">
        <w:rPr>
          <w:rFonts w:asciiTheme="majorBidi" w:hAnsiTheme="majorBidi" w:cstheme="majorBidi"/>
        </w:rPr>
        <w:t xml:space="preserve"> (</w:t>
      </w:r>
      <w:proofErr w:type="spellStart"/>
      <w:r w:rsidRPr="00737ECF">
        <w:rPr>
          <w:rFonts w:asciiTheme="majorBidi" w:hAnsiTheme="majorBidi" w:cstheme="majorBidi"/>
        </w:rPr>
        <w:t>résultat</w:t>
      </w:r>
      <w:proofErr w:type="spellEnd"/>
      <w:r w:rsidRPr="00737ECF">
        <w:rPr>
          <w:rFonts w:asciiTheme="majorBidi" w:hAnsiTheme="majorBidi" w:cstheme="majorBidi"/>
        </w:rPr>
        <w:t xml:space="preserve"> d’un </w:t>
      </w:r>
      <w:proofErr w:type="spellStart"/>
      <w:r w:rsidRPr="00737ECF">
        <w:rPr>
          <w:rFonts w:asciiTheme="majorBidi" w:hAnsiTheme="majorBidi" w:cstheme="majorBidi"/>
        </w:rPr>
        <w:t>algorithme</w:t>
      </w:r>
      <w:proofErr w:type="spellEnd"/>
      <w:r w:rsidRPr="00737ECF">
        <w:rPr>
          <w:rFonts w:asciiTheme="majorBidi" w:hAnsiTheme="majorBidi" w:cstheme="majorBidi"/>
        </w:rPr>
        <w:t xml:space="preserve"> K-Means appliqué </w:t>
      </w:r>
      <w:proofErr w:type="spellStart"/>
      <w:r w:rsidRPr="00737ECF">
        <w:rPr>
          <w:rFonts w:asciiTheme="majorBidi" w:hAnsiTheme="majorBidi" w:cstheme="majorBidi"/>
        </w:rPr>
        <w:t>en</w:t>
      </w:r>
      <w:proofErr w:type="spellEnd"/>
      <w:r w:rsidRPr="00737ECF">
        <w:rPr>
          <w:rFonts w:asciiTheme="majorBidi" w:hAnsiTheme="majorBidi" w:cstheme="majorBidi"/>
        </w:rPr>
        <w:t xml:space="preserve"> </w:t>
      </w:r>
      <w:proofErr w:type="spellStart"/>
      <w:r w:rsidRPr="00737ECF">
        <w:rPr>
          <w:rFonts w:asciiTheme="majorBidi" w:hAnsiTheme="majorBidi" w:cstheme="majorBidi"/>
        </w:rPr>
        <w:t>amont</w:t>
      </w:r>
      <w:proofErr w:type="spellEnd"/>
      <w:r w:rsidRPr="00737ECF">
        <w:rPr>
          <w:rFonts w:asciiTheme="majorBidi" w:hAnsiTheme="majorBidi" w:cstheme="majorBidi"/>
        </w:rPr>
        <w:t>) :</w:t>
      </w:r>
    </w:p>
    <w:p w14:paraId="59D49163" w14:textId="77777777" w:rsidR="00737ECF" w:rsidRPr="00737ECF" w:rsidRDefault="00737ECF" w:rsidP="00737ECF">
      <w:pPr>
        <w:numPr>
          <w:ilvl w:val="0"/>
          <w:numId w:val="26"/>
        </w:numPr>
        <w:tabs>
          <w:tab w:val="left" w:pos="1608"/>
        </w:tabs>
        <w:rPr>
          <w:rFonts w:asciiTheme="majorBidi" w:hAnsiTheme="majorBidi" w:cstheme="majorBidi"/>
        </w:rPr>
      </w:pPr>
      <w:r w:rsidRPr="00737ECF">
        <w:rPr>
          <w:rFonts w:ascii="Segoe UI Emoji" w:hAnsi="Segoe UI Emoji" w:cs="Segoe UI Emoji"/>
        </w:rPr>
        <w:t>🔴</w:t>
      </w:r>
      <w:r w:rsidRPr="00737ECF">
        <w:rPr>
          <w:rFonts w:asciiTheme="majorBidi" w:hAnsiTheme="majorBidi" w:cstheme="majorBidi"/>
        </w:rPr>
        <w:t xml:space="preserve"> </w:t>
      </w:r>
      <w:r w:rsidRPr="00737ECF">
        <w:rPr>
          <w:rFonts w:asciiTheme="majorBidi" w:hAnsiTheme="majorBidi" w:cstheme="majorBidi"/>
          <w:b/>
          <w:bCs/>
        </w:rPr>
        <w:t>Cluster 0</w:t>
      </w:r>
      <w:r w:rsidRPr="00737ECF">
        <w:rPr>
          <w:rFonts w:asciiTheme="majorBidi" w:hAnsiTheme="majorBidi" w:cstheme="majorBidi"/>
        </w:rPr>
        <w:t xml:space="preserve"> : </w:t>
      </w:r>
      <w:proofErr w:type="spellStart"/>
      <w:r w:rsidRPr="00737ECF">
        <w:rPr>
          <w:rFonts w:asciiTheme="majorBidi" w:hAnsiTheme="majorBidi" w:cstheme="majorBidi"/>
        </w:rPr>
        <w:t>groupe</w:t>
      </w:r>
      <w:proofErr w:type="spellEnd"/>
      <w:r w:rsidRPr="00737ECF">
        <w:rPr>
          <w:rFonts w:asciiTheme="majorBidi" w:hAnsiTheme="majorBidi" w:cstheme="majorBidi"/>
        </w:rPr>
        <w:t xml:space="preserve"> compact et bien </w:t>
      </w:r>
      <w:proofErr w:type="spellStart"/>
      <w:r w:rsidRPr="00737ECF">
        <w:rPr>
          <w:rFonts w:asciiTheme="majorBidi" w:hAnsiTheme="majorBidi" w:cstheme="majorBidi"/>
        </w:rPr>
        <w:t>séparé</w:t>
      </w:r>
      <w:proofErr w:type="spellEnd"/>
      <w:r w:rsidRPr="00737ECF">
        <w:rPr>
          <w:rFonts w:asciiTheme="majorBidi" w:hAnsiTheme="majorBidi" w:cstheme="majorBidi"/>
        </w:rPr>
        <w:t xml:space="preserve"> dans la </w:t>
      </w:r>
      <w:proofErr w:type="spellStart"/>
      <w:r w:rsidRPr="00737ECF">
        <w:rPr>
          <w:rFonts w:asciiTheme="majorBidi" w:hAnsiTheme="majorBidi" w:cstheme="majorBidi"/>
        </w:rPr>
        <w:t>partie</w:t>
      </w:r>
      <w:proofErr w:type="spellEnd"/>
      <w:r w:rsidRPr="00737ECF">
        <w:rPr>
          <w:rFonts w:asciiTheme="majorBidi" w:hAnsiTheme="majorBidi" w:cstheme="majorBidi"/>
        </w:rPr>
        <w:t xml:space="preserve"> gauche du </w:t>
      </w:r>
      <w:proofErr w:type="spellStart"/>
      <w:r w:rsidRPr="00737ECF">
        <w:rPr>
          <w:rFonts w:asciiTheme="majorBidi" w:hAnsiTheme="majorBidi" w:cstheme="majorBidi"/>
        </w:rPr>
        <w:t>graphique</w:t>
      </w:r>
      <w:proofErr w:type="spellEnd"/>
    </w:p>
    <w:p w14:paraId="4ADA5B88" w14:textId="77777777" w:rsidR="00737ECF" w:rsidRPr="00737ECF" w:rsidRDefault="00737ECF" w:rsidP="00737ECF">
      <w:pPr>
        <w:numPr>
          <w:ilvl w:val="0"/>
          <w:numId w:val="26"/>
        </w:numPr>
        <w:tabs>
          <w:tab w:val="left" w:pos="1608"/>
        </w:tabs>
        <w:rPr>
          <w:rFonts w:asciiTheme="majorBidi" w:hAnsiTheme="majorBidi" w:cstheme="majorBidi"/>
        </w:rPr>
      </w:pPr>
      <w:r w:rsidRPr="00737ECF">
        <w:rPr>
          <w:rFonts w:ascii="Segoe UI Emoji" w:hAnsi="Segoe UI Emoji" w:cs="Segoe UI Emoji"/>
        </w:rPr>
        <w:t>🔵</w:t>
      </w:r>
      <w:r w:rsidRPr="00737ECF">
        <w:rPr>
          <w:rFonts w:asciiTheme="majorBidi" w:hAnsiTheme="majorBidi" w:cstheme="majorBidi"/>
        </w:rPr>
        <w:t xml:space="preserve"> </w:t>
      </w:r>
      <w:r w:rsidRPr="00737ECF">
        <w:rPr>
          <w:rFonts w:asciiTheme="majorBidi" w:hAnsiTheme="majorBidi" w:cstheme="majorBidi"/>
          <w:b/>
          <w:bCs/>
        </w:rPr>
        <w:t>Cluster 1</w:t>
      </w:r>
      <w:r w:rsidRPr="00737ECF">
        <w:rPr>
          <w:rFonts w:asciiTheme="majorBidi" w:hAnsiTheme="majorBidi" w:cstheme="majorBidi"/>
        </w:rPr>
        <w:t xml:space="preserve"> : </w:t>
      </w:r>
      <w:proofErr w:type="spellStart"/>
      <w:r w:rsidRPr="00737ECF">
        <w:rPr>
          <w:rFonts w:asciiTheme="majorBidi" w:hAnsiTheme="majorBidi" w:cstheme="majorBidi"/>
        </w:rPr>
        <w:t>groupe</w:t>
      </w:r>
      <w:proofErr w:type="spellEnd"/>
      <w:r w:rsidRPr="00737ECF">
        <w:rPr>
          <w:rFonts w:asciiTheme="majorBidi" w:hAnsiTheme="majorBidi" w:cstheme="majorBidi"/>
        </w:rPr>
        <w:t xml:space="preserve"> plus </w:t>
      </w:r>
      <w:proofErr w:type="spellStart"/>
      <w:r w:rsidRPr="00737ECF">
        <w:rPr>
          <w:rFonts w:asciiTheme="majorBidi" w:hAnsiTheme="majorBidi" w:cstheme="majorBidi"/>
        </w:rPr>
        <w:t>étendu</w:t>
      </w:r>
      <w:proofErr w:type="spellEnd"/>
      <w:r w:rsidRPr="00737ECF">
        <w:rPr>
          <w:rFonts w:asciiTheme="majorBidi" w:hAnsiTheme="majorBidi" w:cstheme="majorBidi"/>
        </w:rPr>
        <w:t xml:space="preserve"> au </w:t>
      </w:r>
      <w:proofErr w:type="spellStart"/>
      <w:r w:rsidRPr="00737ECF">
        <w:rPr>
          <w:rFonts w:asciiTheme="majorBidi" w:hAnsiTheme="majorBidi" w:cstheme="majorBidi"/>
        </w:rPr>
        <w:t>centre</w:t>
      </w:r>
      <w:proofErr w:type="spellEnd"/>
    </w:p>
    <w:p w14:paraId="35F63EB5" w14:textId="77777777" w:rsidR="00737ECF" w:rsidRPr="00737ECF" w:rsidRDefault="00737ECF" w:rsidP="00737ECF">
      <w:pPr>
        <w:numPr>
          <w:ilvl w:val="0"/>
          <w:numId w:val="26"/>
        </w:numPr>
        <w:tabs>
          <w:tab w:val="left" w:pos="1608"/>
        </w:tabs>
        <w:rPr>
          <w:rFonts w:asciiTheme="majorBidi" w:hAnsiTheme="majorBidi" w:cstheme="majorBidi"/>
        </w:rPr>
      </w:pPr>
      <w:r w:rsidRPr="00737ECF">
        <w:rPr>
          <w:rFonts w:ascii="Segoe UI Emoji" w:hAnsi="Segoe UI Emoji" w:cs="Segoe UI Emoji"/>
        </w:rPr>
        <w:lastRenderedPageBreak/>
        <w:t>🟢</w:t>
      </w:r>
      <w:r w:rsidRPr="00737ECF">
        <w:rPr>
          <w:rFonts w:asciiTheme="majorBidi" w:hAnsiTheme="majorBidi" w:cstheme="majorBidi"/>
        </w:rPr>
        <w:t xml:space="preserve"> </w:t>
      </w:r>
      <w:r w:rsidRPr="00737ECF">
        <w:rPr>
          <w:rFonts w:asciiTheme="majorBidi" w:hAnsiTheme="majorBidi" w:cstheme="majorBidi"/>
          <w:b/>
          <w:bCs/>
        </w:rPr>
        <w:t>Cluster 2</w:t>
      </w:r>
      <w:r w:rsidRPr="00737ECF">
        <w:rPr>
          <w:rFonts w:asciiTheme="majorBidi" w:hAnsiTheme="majorBidi" w:cstheme="majorBidi"/>
        </w:rPr>
        <w:t xml:space="preserve"> : </w:t>
      </w:r>
      <w:proofErr w:type="spellStart"/>
      <w:r w:rsidRPr="00737ECF">
        <w:rPr>
          <w:rFonts w:asciiTheme="majorBidi" w:hAnsiTheme="majorBidi" w:cstheme="majorBidi"/>
        </w:rPr>
        <w:t>réparti</w:t>
      </w:r>
      <w:proofErr w:type="spellEnd"/>
      <w:r w:rsidRPr="00737ECF">
        <w:rPr>
          <w:rFonts w:asciiTheme="majorBidi" w:hAnsiTheme="majorBidi" w:cstheme="majorBidi"/>
        </w:rPr>
        <w:t xml:space="preserve"> dans la zone droite, avec </w:t>
      </w:r>
      <w:proofErr w:type="spellStart"/>
      <w:r w:rsidRPr="00737ECF">
        <w:rPr>
          <w:rFonts w:asciiTheme="majorBidi" w:hAnsiTheme="majorBidi" w:cstheme="majorBidi"/>
        </w:rPr>
        <w:t>davantage</w:t>
      </w:r>
      <w:proofErr w:type="spellEnd"/>
      <w:r w:rsidRPr="00737ECF">
        <w:rPr>
          <w:rFonts w:asciiTheme="majorBidi" w:hAnsiTheme="majorBidi" w:cstheme="majorBidi"/>
        </w:rPr>
        <w:t xml:space="preserve"> de dispersion</w:t>
      </w:r>
    </w:p>
    <w:p w14:paraId="42D0787A" w14:textId="77777777" w:rsidR="00737ECF" w:rsidRPr="00737ECF" w:rsidRDefault="00737ECF" w:rsidP="00737ECF">
      <w:pPr>
        <w:tabs>
          <w:tab w:val="left" w:pos="1608"/>
        </w:tabs>
        <w:rPr>
          <w:rFonts w:asciiTheme="majorBidi" w:hAnsiTheme="majorBidi" w:cstheme="majorBidi"/>
        </w:rPr>
      </w:pPr>
      <w:r w:rsidRPr="00737ECF">
        <w:rPr>
          <w:rFonts w:asciiTheme="majorBidi" w:hAnsiTheme="majorBidi" w:cstheme="majorBidi"/>
        </w:rPr>
        <w:t xml:space="preserve">Cette </w:t>
      </w:r>
      <w:proofErr w:type="spellStart"/>
      <w:r w:rsidRPr="00737ECF">
        <w:rPr>
          <w:rFonts w:asciiTheme="majorBidi" w:hAnsiTheme="majorBidi" w:cstheme="majorBidi"/>
        </w:rPr>
        <w:t>représentation</w:t>
      </w:r>
      <w:proofErr w:type="spellEnd"/>
      <w:r w:rsidRPr="00737ECF">
        <w:rPr>
          <w:rFonts w:asciiTheme="majorBidi" w:hAnsiTheme="majorBidi" w:cstheme="majorBidi"/>
        </w:rPr>
        <w:t xml:space="preserve"> </w:t>
      </w:r>
      <w:proofErr w:type="spellStart"/>
      <w:r w:rsidRPr="00737ECF">
        <w:rPr>
          <w:rFonts w:asciiTheme="majorBidi" w:hAnsiTheme="majorBidi" w:cstheme="majorBidi"/>
        </w:rPr>
        <w:t>est</w:t>
      </w:r>
      <w:proofErr w:type="spellEnd"/>
      <w:r w:rsidRPr="00737ECF">
        <w:rPr>
          <w:rFonts w:asciiTheme="majorBidi" w:hAnsiTheme="majorBidi" w:cstheme="majorBidi"/>
        </w:rPr>
        <w:t xml:space="preserve"> utile pour </w:t>
      </w:r>
      <w:proofErr w:type="spellStart"/>
      <w:r w:rsidRPr="00737ECF">
        <w:rPr>
          <w:rFonts w:asciiTheme="majorBidi" w:hAnsiTheme="majorBidi" w:cstheme="majorBidi"/>
          <w:b/>
          <w:bCs/>
        </w:rPr>
        <w:t>valider</w:t>
      </w:r>
      <w:proofErr w:type="spellEnd"/>
      <w:r w:rsidRPr="00737ECF">
        <w:rPr>
          <w:rFonts w:asciiTheme="majorBidi" w:hAnsiTheme="majorBidi" w:cstheme="majorBidi"/>
          <w:b/>
          <w:bCs/>
        </w:rPr>
        <w:t xml:space="preserve"> </w:t>
      </w:r>
      <w:proofErr w:type="spellStart"/>
      <w:r w:rsidRPr="00737ECF">
        <w:rPr>
          <w:rFonts w:asciiTheme="majorBidi" w:hAnsiTheme="majorBidi" w:cstheme="majorBidi"/>
          <w:b/>
          <w:bCs/>
        </w:rPr>
        <w:t>visuellement</w:t>
      </w:r>
      <w:proofErr w:type="spellEnd"/>
      <w:r w:rsidRPr="00737ECF">
        <w:rPr>
          <w:rFonts w:asciiTheme="majorBidi" w:hAnsiTheme="majorBidi" w:cstheme="majorBidi"/>
          <w:b/>
          <w:bCs/>
        </w:rPr>
        <w:t xml:space="preserve"> la </w:t>
      </w:r>
      <w:proofErr w:type="spellStart"/>
      <w:r w:rsidRPr="00737ECF">
        <w:rPr>
          <w:rFonts w:asciiTheme="majorBidi" w:hAnsiTheme="majorBidi" w:cstheme="majorBidi"/>
          <w:b/>
          <w:bCs/>
        </w:rPr>
        <w:t>qualité</w:t>
      </w:r>
      <w:proofErr w:type="spellEnd"/>
      <w:r w:rsidRPr="00737ECF">
        <w:rPr>
          <w:rFonts w:asciiTheme="majorBidi" w:hAnsiTheme="majorBidi" w:cstheme="majorBidi"/>
          <w:b/>
          <w:bCs/>
        </w:rPr>
        <w:t xml:space="preserve"> de la segmentation</w:t>
      </w:r>
      <w:r w:rsidRPr="00737ECF">
        <w:rPr>
          <w:rFonts w:asciiTheme="majorBidi" w:hAnsiTheme="majorBidi" w:cstheme="majorBidi"/>
        </w:rPr>
        <w:t xml:space="preserve"> :</w:t>
      </w:r>
    </w:p>
    <w:p w14:paraId="52AAA82D" w14:textId="77777777" w:rsidR="00737ECF" w:rsidRPr="00737ECF" w:rsidRDefault="00737ECF" w:rsidP="00737ECF">
      <w:pPr>
        <w:numPr>
          <w:ilvl w:val="0"/>
          <w:numId w:val="27"/>
        </w:numPr>
        <w:tabs>
          <w:tab w:val="left" w:pos="1608"/>
        </w:tabs>
        <w:rPr>
          <w:rFonts w:asciiTheme="majorBidi" w:hAnsiTheme="majorBidi" w:cstheme="majorBidi"/>
        </w:rPr>
      </w:pPr>
      <w:r w:rsidRPr="00737ECF">
        <w:rPr>
          <w:rFonts w:asciiTheme="majorBidi" w:hAnsiTheme="majorBidi" w:cstheme="majorBidi"/>
        </w:rPr>
        <w:t xml:space="preserve">Le </w:t>
      </w:r>
      <w:r w:rsidRPr="00737ECF">
        <w:rPr>
          <w:rFonts w:asciiTheme="majorBidi" w:hAnsiTheme="majorBidi" w:cstheme="majorBidi"/>
          <w:b/>
          <w:bCs/>
        </w:rPr>
        <w:t>cluster 0</w:t>
      </w:r>
      <w:r w:rsidRPr="00737ECF">
        <w:rPr>
          <w:rFonts w:asciiTheme="majorBidi" w:hAnsiTheme="majorBidi" w:cstheme="majorBidi"/>
        </w:rPr>
        <w:t xml:space="preserve"> </w:t>
      </w:r>
      <w:proofErr w:type="spellStart"/>
      <w:r w:rsidRPr="00737ECF">
        <w:rPr>
          <w:rFonts w:asciiTheme="majorBidi" w:hAnsiTheme="majorBidi" w:cstheme="majorBidi"/>
        </w:rPr>
        <w:t>apparaît</w:t>
      </w:r>
      <w:proofErr w:type="spellEnd"/>
      <w:r w:rsidRPr="00737ECF">
        <w:rPr>
          <w:rFonts w:asciiTheme="majorBidi" w:hAnsiTheme="majorBidi" w:cstheme="majorBidi"/>
        </w:rPr>
        <w:t xml:space="preserve"> très dense, </w:t>
      </w:r>
      <w:proofErr w:type="spellStart"/>
      <w:r w:rsidRPr="00737ECF">
        <w:rPr>
          <w:rFonts w:asciiTheme="majorBidi" w:hAnsiTheme="majorBidi" w:cstheme="majorBidi"/>
        </w:rPr>
        <w:t>ce</w:t>
      </w:r>
      <w:proofErr w:type="spellEnd"/>
      <w:r w:rsidRPr="00737ECF">
        <w:rPr>
          <w:rFonts w:asciiTheme="majorBidi" w:hAnsiTheme="majorBidi" w:cstheme="majorBidi"/>
        </w:rPr>
        <w:t xml:space="preserve"> qui </w:t>
      </w:r>
      <w:proofErr w:type="spellStart"/>
      <w:r w:rsidRPr="00737ECF">
        <w:rPr>
          <w:rFonts w:asciiTheme="majorBidi" w:hAnsiTheme="majorBidi" w:cstheme="majorBidi"/>
        </w:rPr>
        <w:t>suggère</w:t>
      </w:r>
      <w:proofErr w:type="spellEnd"/>
      <w:r w:rsidRPr="00737ECF">
        <w:rPr>
          <w:rFonts w:asciiTheme="majorBidi" w:hAnsiTheme="majorBidi" w:cstheme="majorBidi"/>
        </w:rPr>
        <w:t xml:space="preserve"> </w:t>
      </w:r>
      <w:proofErr w:type="spellStart"/>
      <w:r w:rsidRPr="00737ECF">
        <w:rPr>
          <w:rFonts w:asciiTheme="majorBidi" w:hAnsiTheme="majorBidi" w:cstheme="majorBidi"/>
        </w:rPr>
        <w:t>une</w:t>
      </w:r>
      <w:proofErr w:type="spellEnd"/>
      <w:r w:rsidRPr="00737ECF">
        <w:rPr>
          <w:rFonts w:asciiTheme="majorBidi" w:hAnsiTheme="majorBidi" w:cstheme="majorBidi"/>
        </w:rPr>
        <w:t xml:space="preserve"> forte </w:t>
      </w:r>
      <w:proofErr w:type="spellStart"/>
      <w:r w:rsidRPr="00737ECF">
        <w:rPr>
          <w:rFonts w:asciiTheme="majorBidi" w:hAnsiTheme="majorBidi" w:cstheme="majorBidi"/>
        </w:rPr>
        <w:t>cohérence</w:t>
      </w:r>
      <w:proofErr w:type="spellEnd"/>
      <w:r w:rsidRPr="00737ECF">
        <w:rPr>
          <w:rFonts w:asciiTheme="majorBidi" w:hAnsiTheme="majorBidi" w:cstheme="majorBidi"/>
        </w:rPr>
        <w:t xml:space="preserve"> interne entre </w:t>
      </w:r>
      <w:proofErr w:type="spellStart"/>
      <w:r w:rsidRPr="00737ECF">
        <w:rPr>
          <w:rFonts w:asciiTheme="majorBidi" w:hAnsiTheme="majorBidi" w:cstheme="majorBidi"/>
        </w:rPr>
        <w:t>ses</w:t>
      </w:r>
      <w:proofErr w:type="spellEnd"/>
      <w:r w:rsidRPr="00737ECF">
        <w:rPr>
          <w:rFonts w:asciiTheme="majorBidi" w:hAnsiTheme="majorBidi" w:cstheme="majorBidi"/>
        </w:rPr>
        <w:t xml:space="preserve"> </w:t>
      </w:r>
      <w:proofErr w:type="spellStart"/>
      <w:r w:rsidRPr="00737ECF">
        <w:rPr>
          <w:rFonts w:asciiTheme="majorBidi" w:hAnsiTheme="majorBidi" w:cstheme="majorBidi"/>
        </w:rPr>
        <w:t>membres</w:t>
      </w:r>
      <w:proofErr w:type="spellEnd"/>
      <w:r w:rsidRPr="00737ECF">
        <w:rPr>
          <w:rFonts w:asciiTheme="majorBidi" w:hAnsiTheme="majorBidi" w:cstheme="majorBidi"/>
        </w:rPr>
        <w:t>.</w:t>
      </w:r>
    </w:p>
    <w:p w14:paraId="7802A79A" w14:textId="77777777" w:rsidR="00737ECF" w:rsidRPr="00737ECF" w:rsidRDefault="00737ECF" w:rsidP="00737ECF">
      <w:pPr>
        <w:numPr>
          <w:ilvl w:val="0"/>
          <w:numId w:val="27"/>
        </w:numPr>
        <w:tabs>
          <w:tab w:val="left" w:pos="1608"/>
        </w:tabs>
        <w:rPr>
          <w:rFonts w:asciiTheme="majorBidi" w:hAnsiTheme="majorBidi" w:cstheme="majorBidi"/>
        </w:rPr>
      </w:pPr>
      <w:r w:rsidRPr="00737ECF">
        <w:rPr>
          <w:rFonts w:asciiTheme="majorBidi" w:hAnsiTheme="majorBidi" w:cstheme="majorBidi"/>
        </w:rPr>
        <w:t xml:space="preserve">Le </w:t>
      </w:r>
      <w:r w:rsidRPr="00737ECF">
        <w:rPr>
          <w:rFonts w:asciiTheme="majorBidi" w:hAnsiTheme="majorBidi" w:cstheme="majorBidi"/>
          <w:b/>
          <w:bCs/>
        </w:rPr>
        <w:t>cluster 1</w:t>
      </w:r>
      <w:r w:rsidRPr="00737ECF">
        <w:rPr>
          <w:rFonts w:asciiTheme="majorBidi" w:hAnsiTheme="majorBidi" w:cstheme="majorBidi"/>
        </w:rPr>
        <w:t xml:space="preserve"> montre </w:t>
      </w:r>
      <w:proofErr w:type="spellStart"/>
      <w:r w:rsidRPr="00737ECF">
        <w:rPr>
          <w:rFonts w:asciiTheme="majorBidi" w:hAnsiTheme="majorBidi" w:cstheme="majorBidi"/>
        </w:rPr>
        <w:t>une</w:t>
      </w:r>
      <w:proofErr w:type="spellEnd"/>
      <w:r w:rsidRPr="00737ECF">
        <w:rPr>
          <w:rFonts w:asciiTheme="majorBidi" w:hAnsiTheme="majorBidi" w:cstheme="majorBidi"/>
        </w:rPr>
        <w:t xml:space="preserve"> </w:t>
      </w:r>
      <w:proofErr w:type="spellStart"/>
      <w:r w:rsidRPr="00737ECF">
        <w:rPr>
          <w:rFonts w:asciiTheme="majorBidi" w:hAnsiTheme="majorBidi" w:cstheme="majorBidi"/>
        </w:rPr>
        <w:t>répartition</w:t>
      </w:r>
      <w:proofErr w:type="spellEnd"/>
      <w:r w:rsidRPr="00737ECF">
        <w:rPr>
          <w:rFonts w:asciiTheme="majorBidi" w:hAnsiTheme="majorBidi" w:cstheme="majorBidi"/>
        </w:rPr>
        <w:t xml:space="preserve"> plus diffuse, </w:t>
      </w:r>
      <w:proofErr w:type="spellStart"/>
      <w:r w:rsidRPr="00737ECF">
        <w:rPr>
          <w:rFonts w:asciiTheme="majorBidi" w:hAnsiTheme="majorBidi" w:cstheme="majorBidi"/>
        </w:rPr>
        <w:t>indiquant</w:t>
      </w:r>
      <w:proofErr w:type="spellEnd"/>
      <w:r w:rsidRPr="00737ECF">
        <w:rPr>
          <w:rFonts w:asciiTheme="majorBidi" w:hAnsiTheme="majorBidi" w:cstheme="majorBidi"/>
        </w:rPr>
        <w:t xml:space="preserve"> </w:t>
      </w:r>
      <w:proofErr w:type="spellStart"/>
      <w:r w:rsidRPr="00737ECF">
        <w:rPr>
          <w:rFonts w:asciiTheme="majorBidi" w:hAnsiTheme="majorBidi" w:cstheme="majorBidi"/>
        </w:rPr>
        <w:t>une</w:t>
      </w:r>
      <w:proofErr w:type="spellEnd"/>
      <w:r w:rsidRPr="00737ECF">
        <w:rPr>
          <w:rFonts w:asciiTheme="majorBidi" w:hAnsiTheme="majorBidi" w:cstheme="majorBidi"/>
        </w:rPr>
        <w:t xml:space="preserve"> </w:t>
      </w:r>
      <w:proofErr w:type="spellStart"/>
      <w:r w:rsidRPr="00737ECF">
        <w:rPr>
          <w:rFonts w:asciiTheme="majorBidi" w:hAnsiTheme="majorBidi" w:cstheme="majorBidi"/>
        </w:rPr>
        <w:t>certaine</w:t>
      </w:r>
      <w:proofErr w:type="spellEnd"/>
      <w:r w:rsidRPr="00737ECF">
        <w:rPr>
          <w:rFonts w:asciiTheme="majorBidi" w:hAnsiTheme="majorBidi" w:cstheme="majorBidi"/>
        </w:rPr>
        <w:t xml:space="preserve"> </w:t>
      </w:r>
      <w:proofErr w:type="spellStart"/>
      <w:r w:rsidRPr="00737ECF">
        <w:rPr>
          <w:rFonts w:asciiTheme="majorBidi" w:hAnsiTheme="majorBidi" w:cstheme="majorBidi"/>
        </w:rPr>
        <w:t>variabilité</w:t>
      </w:r>
      <w:proofErr w:type="spellEnd"/>
      <w:r w:rsidRPr="00737ECF">
        <w:rPr>
          <w:rFonts w:asciiTheme="majorBidi" w:hAnsiTheme="majorBidi" w:cstheme="majorBidi"/>
        </w:rPr>
        <w:t xml:space="preserve"> dans les </w:t>
      </w:r>
      <w:proofErr w:type="spellStart"/>
      <w:r w:rsidRPr="00737ECF">
        <w:rPr>
          <w:rFonts w:asciiTheme="majorBidi" w:hAnsiTheme="majorBidi" w:cstheme="majorBidi"/>
        </w:rPr>
        <w:t>profils</w:t>
      </w:r>
      <w:proofErr w:type="spellEnd"/>
      <w:r w:rsidRPr="00737ECF">
        <w:rPr>
          <w:rFonts w:asciiTheme="majorBidi" w:hAnsiTheme="majorBidi" w:cstheme="majorBidi"/>
        </w:rPr>
        <w:t xml:space="preserve"> </w:t>
      </w:r>
      <w:proofErr w:type="spellStart"/>
      <w:r w:rsidRPr="00737ECF">
        <w:rPr>
          <w:rFonts w:asciiTheme="majorBidi" w:hAnsiTheme="majorBidi" w:cstheme="majorBidi"/>
        </w:rPr>
        <w:t>qu’il</w:t>
      </w:r>
      <w:proofErr w:type="spellEnd"/>
      <w:r w:rsidRPr="00737ECF">
        <w:rPr>
          <w:rFonts w:asciiTheme="majorBidi" w:hAnsiTheme="majorBidi" w:cstheme="majorBidi"/>
        </w:rPr>
        <w:t xml:space="preserve"> </w:t>
      </w:r>
      <w:proofErr w:type="spellStart"/>
      <w:r w:rsidRPr="00737ECF">
        <w:rPr>
          <w:rFonts w:asciiTheme="majorBidi" w:hAnsiTheme="majorBidi" w:cstheme="majorBidi"/>
        </w:rPr>
        <w:t>contient</w:t>
      </w:r>
      <w:proofErr w:type="spellEnd"/>
      <w:r w:rsidRPr="00737ECF">
        <w:rPr>
          <w:rFonts w:asciiTheme="majorBidi" w:hAnsiTheme="majorBidi" w:cstheme="majorBidi"/>
        </w:rPr>
        <w:t>.</w:t>
      </w:r>
    </w:p>
    <w:p w14:paraId="18E4B64F" w14:textId="77777777" w:rsidR="00737ECF" w:rsidRPr="00737ECF" w:rsidRDefault="00737ECF" w:rsidP="00737ECF">
      <w:pPr>
        <w:numPr>
          <w:ilvl w:val="0"/>
          <w:numId w:val="27"/>
        </w:numPr>
        <w:tabs>
          <w:tab w:val="left" w:pos="1608"/>
        </w:tabs>
        <w:rPr>
          <w:rFonts w:asciiTheme="majorBidi" w:hAnsiTheme="majorBidi" w:cstheme="majorBidi"/>
        </w:rPr>
      </w:pPr>
      <w:r w:rsidRPr="00737ECF">
        <w:rPr>
          <w:rFonts w:asciiTheme="majorBidi" w:hAnsiTheme="majorBidi" w:cstheme="majorBidi"/>
        </w:rPr>
        <w:t xml:space="preserve">Le </w:t>
      </w:r>
      <w:r w:rsidRPr="00737ECF">
        <w:rPr>
          <w:rFonts w:asciiTheme="majorBidi" w:hAnsiTheme="majorBidi" w:cstheme="majorBidi"/>
          <w:b/>
          <w:bCs/>
        </w:rPr>
        <w:t>cluster 2</w:t>
      </w:r>
      <w:r w:rsidRPr="00737ECF">
        <w:rPr>
          <w:rFonts w:asciiTheme="majorBidi" w:hAnsiTheme="majorBidi" w:cstheme="majorBidi"/>
        </w:rPr>
        <w:t xml:space="preserve"> </w:t>
      </w:r>
      <w:proofErr w:type="spellStart"/>
      <w:r w:rsidRPr="00737ECF">
        <w:rPr>
          <w:rFonts w:asciiTheme="majorBidi" w:hAnsiTheme="majorBidi" w:cstheme="majorBidi"/>
        </w:rPr>
        <w:t>semble</w:t>
      </w:r>
      <w:proofErr w:type="spellEnd"/>
      <w:r w:rsidRPr="00737ECF">
        <w:rPr>
          <w:rFonts w:asciiTheme="majorBidi" w:hAnsiTheme="majorBidi" w:cstheme="majorBidi"/>
        </w:rPr>
        <w:t xml:space="preserve"> </w:t>
      </w:r>
      <w:proofErr w:type="spellStart"/>
      <w:r w:rsidRPr="00737ECF">
        <w:rPr>
          <w:rFonts w:asciiTheme="majorBidi" w:hAnsiTheme="majorBidi" w:cstheme="majorBidi"/>
        </w:rPr>
        <w:t>s’étendre</w:t>
      </w:r>
      <w:proofErr w:type="spellEnd"/>
      <w:r w:rsidRPr="00737ECF">
        <w:rPr>
          <w:rFonts w:asciiTheme="majorBidi" w:hAnsiTheme="majorBidi" w:cstheme="majorBidi"/>
        </w:rPr>
        <w:t xml:space="preserve"> dans </w:t>
      </w:r>
      <w:proofErr w:type="spellStart"/>
      <w:r w:rsidRPr="00737ECF">
        <w:rPr>
          <w:rFonts w:asciiTheme="majorBidi" w:hAnsiTheme="majorBidi" w:cstheme="majorBidi"/>
        </w:rPr>
        <w:t>une</w:t>
      </w:r>
      <w:proofErr w:type="spellEnd"/>
      <w:r w:rsidRPr="00737ECF">
        <w:rPr>
          <w:rFonts w:asciiTheme="majorBidi" w:hAnsiTheme="majorBidi" w:cstheme="majorBidi"/>
        </w:rPr>
        <w:t xml:space="preserve"> direction </w:t>
      </w:r>
      <w:proofErr w:type="spellStart"/>
      <w:r w:rsidRPr="00737ECF">
        <w:rPr>
          <w:rFonts w:asciiTheme="majorBidi" w:hAnsiTheme="majorBidi" w:cstheme="majorBidi"/>
        </w:rPr>
        <w:t>opposée</w:t>
      </w:r>
      <w:proofErr w:type="spellEnd"/>
      <w:r w:rsidRPr="00737ECF">
        <w:rPr>
          <w:rFonts w:asciiTheme="majorBidi" w:hAnsiTheme="majorBidi" w:cstheme="majorBidi"/>
        </w:rPr>
        <w:t xml:space="preserve"> à cluster 0, </w:t>
      </w:r>
      <w:proofErr w:type="spellStart"/>
      <w:r w:rsidRPr="00737ECF">
        <w:rPr>
          <w:rFonts w:asciiTheme="majorBidi" w:hAnsiTheme="majorBidi" w:cstheme="majorBidi"/>
        </w:rPr>
        <w:t>ce</w:t>
      </w:r>
      <w:proofErr w:type="spellEnd"/>
      <w:r w:rsidRPr="00737ECF">
        <w:rPr>
          <w:rFonts w:asciiTheme="majorBidi" w:hAnsiTheme="majorBidi" w:cstheme="majorBidi"/>
        </w:rPr>
        <w:t xml:space="preserve"> qui montre </w:t>
      </w:r>
      <w:proofErr w:type="spellStart"/>
      <w:r w:rsidRPr="00737ECF">
        <w:rPr>
          <w:rFonts w:asciiTheme="majorBidi" w:hAnsiTheme="majorBidi" w:cstheme="majorBidi"/>
        </w:rPr>
        <w:t>une</w:t>
      </w:r>
      <w:proofErr w:type="spellEnd"/>
      <w:r w:rsidRPr="00737ECF">
        <w:rPr>
          <w:rFonts w:asciiTheme="majorBidi" w:hAnsiTheme="majorBidi" w:cstheme="majorBidi"/>
        </w:rPr>
        <w:t xml:space="preserve"> </w:t>
      </w:r>
      <w:r w:rsidRPr="00737ECF">
        <w:rPr>
          <w:rFonts w:asciiTheme="majorBidi" w:hAnsiTheme="majorBidi" w:cstheme="majorBidi"/>
          <w:b/>
          <w:bCs/>
        </w:rPr>
        <w:t xml:space="preserve">bonne </w:t>
      </w:r>
      <w:proofErr w:type="spellStart"/>
      <w:r w:rsidRPr="00737ECF">
        <w:rPr>
          <w:rFonts w:asciiTheme="majorBidi" w:hAnsiTheme="majorBidi" w:cstheme="majorBidi"/>
          <w:b/>
          <w:bCs/>
        </w:rPr>
        <w:t>séparation</w:t>
      </w:r>
      <w:proofErr w:type="spellEnd"/>
      <w:r w:rsidRPr="00737ECF">
        <w:rPr>
          <w:rFonts w:asciiTheme="majorBidi" w:hAnsiTheme="majorBidi" w:cstheme="majorBidi"/>
          <w:b/>
          <w:bCs/>
        </w:rPr>
        <w:t xml:space="preserve"> </w:t>
      </w:r>
      <w:proofErr w:type="spellStart"/>
      <w:r w:rsidRPr="00737ECF">
        <w:rPr>
          <w:rFonts w:asciiTheme="majorBidi" w:hAnsiTheme="majorBidi" w:cstheme="majorBidi"/>
          <w:b/>
          <w:bCs/>
        </w:rPr>
        <w:t>spatiale</w:t>
      </w:r>
      <w:proofErr w:type="spellEnd"/>
      <w:r w:rsidRPr="00737ECF">
        <w:rPr>
          <w:rFonts w:asciiTheme="majorBidi" w:hAnsiTheme="majorBidi" w:cstheme="majorBidi"/>
        </w:rPr>
        <w:t>.</w:t>
      </w:r>
    </w:p>
    <w:p w14:paraId="1932B5D1" w14:textId="77777777" w:rsidR="00737ECF" w:rsidRPr="00737ECF" w:rsidRDefault="00737ECF" w:rsidP="00737ECF">
      <w:pPr>
        <w:tabs>
          <w:tab w:val="left" w:pos="1608"/>
        </w:tabs>
        <w:rPr>
          <w:rFonts w:asciiTheme="majorBidi" w:hAnsiTheme="majorBidi" w:cstheme="majorBidi"/>
        </w:rPr>
      </w:pPr>
      <w:proofErr w:type="spellStart"/>
      <w:r w:rsidRPr="00737ECF">
        <w:rPr>
          <w:rFonts w:asciiTheme="majorBidi" w:hAnsiTheme="majorBidi" w:cstheme="majorBidi"/>
        </w:rPr>
        <w:t>Même</w:t>
      </w:r>
      <w:proofErr w:type="spellEnd"/>
      <w:r w:rsidRPr="00737ECF">
        <w:rPr>
          <w:rFonts w:asciiTheme="majorBidi" w:hAnsiTheme="majorBidi" w:cstheme="majorBidi"/>
        </w:rPr>
        <w:t xml:space="preserve"> </w:t>
      </w:r>
      <w:proofErr w:type="spellStart"/>
      <w:r w:rsidRPr="00737ECF">
        <w:rPr>
          <w:rFonts w:asciiTheme="majorBidi" w:hAnsiTheme="majorBidi" w:cstheme="majorBidi"/>
        </w:rPr>
        <w:t>si</w:t>
      </w:r>
      <w:proofErr w:type="spellEnd"/>
      <w:r w:rsidRPr="00737ECF">
        <w:rPr>
          <w:rFonts w:asciiTheme="majorBidi" w:hAnsiTheme="majorBidi" w:cstheme="majorBidi"/>
        </w:rPr>
        <w:t xml:space="preserve"> les </w:t>
      </w:r>
      <w:proofErr w:type="spellStart"/>
      <w:r w:rsidRPr="00737ECF">
        <w:rPr>
          <w:rFonts w:asciiTheme="majorBidi" w:hAnsiTheme="majorBidi" w:cstheme="majorBidi"/>
        </w:rPr>
        <w:t>composantes</w:t>
      </w:r>
      <w:proofErr w:type="spellEnd"/>
      <w:r w:rsidRPr="00737ECF">
        <w:rPr>
          <w:rFonts w:asciiTheme="majorBidi" w:hAnsiTheme="majorBidi" w:cstheme="majorBidi"/>
        </w:rPr>
        <w:t xml:space="preserve"> PCA ne </w:t>
      </w:r>
      <w:proofErr w:type="spellStart"/>
      <w:r w:rsidRPr="00737ECF">
        <w:rPr>
          <w:rFonts w:asciiTheme="majorBidi" w:hAnsiTheme="majorBidi" w:cstheme="majorBidi"/>
        </w:rPr>
        <w:t>sont</w:t>
      </w:r>
      <w:proofErr w:type="spellEnd"/>
      <w:r w:rsidRPr="00737ECF">
        <w:rPr>
          <w:rFonts w:asciiTheme="majorBidi" w:hAnsiTheme="majorBidi" w:cstheme="majorBidi"/>
        </w:rPr>
        <w:t xml:space="preserve"> pas </w:t>
      </w:r>
      <w:proofErr w:type="spellStart"/>
      <w:r w:rsidRPr="00737ECF">
        <w:rPr>
          <w:rFonts w:asciiTheme="majorBidi" w:hAnsiTheme="majorBidi" w:cstheme="majorBidi"/>
        </w:rPr>
        <w:t>interprétables</w:t>
      </w:r>
      <w:proofErr w:type="spellEnd"/>
      <w:r w:rsidRPr="00737ECF">
        <w:rPr>
          <w:rFonts w:asciiTheme="majorBidi" w:hAnsiTheme="majorBidi" w:cstheme="majorBidi"/>
        </w:rPr>
        <w:t xml:space="preserve"> </w:t>
      </w:r>
      <w:proofErr w:type="spellStart"/>
      <w:r w:rsidRPr="00737ECF">
        <w:rPr>
          <w:rFonts w:asciiTheme="majorBidi" w:hAnsiTheme="majorBidi" w:cstheme="majorBidi"/>
        </w:rPr>
        <w:t>directement</w:t>
      </w:r>
      <w:proofErr w:type="spellEnd"/>
      <w:r w:rsidRPr="00737ECF">
        <w:rPr>
          <w:rFonts w:asciiTheme="majorBidi" w:hAnsiTheme="majorBidi" w:cstheme="majorBidi"/>
        </w:rPr>
        <w:t xml:space="preserve"> </w:t>
      </w:r>
      <w:proofErr w:type="spellStart"/>
      <w:r w:rsidRPr="00737ECF">
        <w:rPr>
          <w:rFonts w:asciiTheme="majorBidi" w:hAnsiTheme="majorBidi" w:cstheme="majorBidi"/>
        </w:rPr>
        <w:t>en</w:t>
      </w:r>
      <w:proofErr w:type="spellEnd"/>
      <w:r w:rsidRPr="00737ECF">
        <w:rPr>
          <w:rFonts w:asciiTheme="majorBidi" w:hAnsiTheme="majorBidi" w:cstheme="majorBidi"/>
        </w:rPr>
        <w:t xml:space="preserve"> </w:t>
      </w:r>
      <w:proofErr w:type="spellStart"/>
      <w:r w:rsidRPr="00737ECF">
        <w:rPr>
          <w:rFonts w:asciiTheme="majorBidi" w:hAnsiTheme="majorBidi" w:cstheme="majorBidi"/>
        </w:rPr>
        <w:t>termes</w:t>
      </w:r>
      <w:proofErr w:type="spellEnd"/>
      <w:r w:rsidRPr="00737ECF">
        <w:rPr>
          <w:rFonts w:asciiTheme="majorBidi" w:hAnsiTheme="majorBidi" w:cstheme="majorBidi"/>
        </w:rPr>
        <w:t xml:space="preserve"> </w:t>
      </w:r>
      <w:proofErr w:type="spellStart"/>
      <w:r w:rsidRPr="00737ECF">
        <w:rPr>
          <w:rFonts w:asciiTheme="majorBidi" w:hAnsiTheme="majorBidi" w:cstheme="majorBidi"/>
        </w:rPr>
        <w:t>cliniques</w:t>
      </w:r>
      <w:proofErr w:type="spellEnd"/>
      <w:r w:rsidRPr="00737ECF">
        <w:rPr>
          <w:rFonts w:asciiTheme="majorBidi" w:hAnsiTheme="majorBidi" w:cstheme="majorBidi"/>
        </w:rPr>
        <w:t xml:space="preserve">, </w:t>
      </w:r>
      <w:proofErr w:type="spellStart"/>
      <w:r w:rsidRPr="00737ECF">
        <w:rPr>
          <w:rFonts w:asciiTheme="majorBidi" w:hAnsiTheme="majorBidi" w:cstheme="majorBidi"/>
        </w:rPr>
        <w:t>elles</w:t>
      </w:r>
      <w:proofErr w:type="spellEnd"/>
      <w:r w:rsidRPr="00737ECF">
        <w:rPr>
          <w:rFonts w:asciiTheme="majorBidi" w:hAnsiTheme="majorBidi" w:cstheme="majorBidi"/>
        </w:rPr>
        <w:t xml:space="preserve"> </w:t>
      </w:r>
      <w:proofErr w:type="spellStart"/>
      <w:r w:rsidRPr="00737ECF">
        <w:rPr>
          <w:rFonts w:asciiTheme="majorBidi" w:hAnsiTheme="majorBidi" w:cstheme="majorBidi"/>
        </w:rPr>
        <w:t>permettent</w:t>
      </w:r>
      <w:proofErr w:type="spellEnd"/>
      <w:r w:rsidRPr="00737ECF">
        <w:rPr>
          <w:rFonts w:asciiTheme="majorBidi" w:hAnsiTheme="majorBidi" w:cstheme="majorBidi"/>
        </w:rPr>
        <w:t xml:space="preserve"> </w:t>
      </w:r>
      <w:proofErr w:type="spellStart"/>
      <w:r w:rsidRPr="00737ECF">
        <w:rPr>
          <w:rFonts w:asciiTheme="majorBidi" w:hAnsiTheme="majorBidi" w:cstheme="majorBidi"/>
        </w:rPr>
        <w:t>ici</w:t>
      </w:r>
      <w:proofErr w:type="spellEnd"/>
      <w:r w:rsidRPr="00737ECF">
        <w:rPr>
          <w:rFonts w:asciiTheme="majorBidi" w:hAnsiTheme="majorBidi" w:cstheme="majorBidi"/>
        </w:rPr>
        <w:t xml:space="preserve"> </w:t>
      </w:r>
      <w:proofErr w:type="spellStart"/>
      <w:r w:rsidRPr="00737ECF">
        <w:rPr>
          <w:rFonts w:asciiTheme="majorBidi" w:hAnsiTheme="majorBidi" w:cstheme="majorBidi"/>
        </w:rPr>
        <w:t>d’illustrer</w:t>
      </w:r>
      <w:proofErr w:type="spellEnd"/>
      <w:r w:rsidRPr="00737ECF">
        <w:rPr>
          <w:rFonts w:asciiTheme="majorBidi" w:hAnsiTheme="majorBidi" w:cstheme="majorBidi"/>
        </w:rPr>
        <w:t xml:space="preserve"> que les clusters </w:t>
      </w:r>
      <w:proofErr w:type="spellStart"/>
      <w:r w:rsidRPr="00737ECF">
        <w:rPr>
          <w:rFonts w:asciiTheme="majorBidi" w:hAnsiTheme="majorBidi" w:cstheme="majorBidi"/>
        </w:rPr>
        <w:t>identifiés</w:t>
      </w:r>
      <w:proofErr w:type="spellEnd"/>
      <w:r w:rsidRPr="00737ECF">
        <w:rPr>
          <w:rFonts w:asciiTheme="majorBidi" w:hAnsiTheme="majorBidi" w:cstheme="majorBidi"/>
        </w:rPr>
        <w:t xml:space="preserve"> </w:t>
      </w:r>
      <w:proofErr w:type="spellStart"/>
      <w:r w:rsidRPr="00737ECF">
        <w:rPr>
          <w:rFonts w:asciiTheme="majorBidi" w:hAnsiTheme="majorBidi" w:cstheme="majorBidi"/>
        </w:rPr>
        <w:t>sont</w:t>
      </w:r>
      <w:proofErr w:type="spellEnd"/>
      <w:r w:rsidRPr="00737ECF">
        <w:rPr>
          <w:rFonts w:asciiTheme="majorBidi" w:hAnsiTheme="majorBidi" w:cstheme="majorBidi"/>
        </w:rPr>
        <w:t xml:space="preserve"> </w:t>
      </w:r>
      <w:proofErr w:type="spellStart"/>
      <w:r w:rsidRPr="00737ECF">
        <w:rPr>
          <w:rFonts w:asciiTheme="majorBidi" w:hAnsiTheme="majorBidi" w:cstheme="majorBidi"/>
          <w:b/>
          <w:bCs/>
        </w:rPr>
        <w:t>relativement</w:t>
      </w:r>
      <w:proofErr w:type="spellEnd"/>
      <w:r w:rsidRPr="00737ECF">
        <w:rPr>
          <w:rFonts w:asciiTheme="majorBidi" w:hAnsiTheme="majorBidi" w:cstheme="majorBidi"/>
          <w:b/>
          <w:bCs/>
        </w:rPr>
        <w:t xml:space="preserve"> bien </w:t>
      </w:r>
      <w:proofErr w:type="spellStart"/>
      <w:r w:rsidRPr="00737ECF">
        <w:rPr>
          <w:rFonts w:asciiTheme="majorBidi" w:hAnsiTheme="majorBidi" w:cstheme="majorBidi"/>
          <w:b/>
          <w:bCs/>
        </w:rPr>
        <w:t>séparés</w:t>
      </w:r>
      <w:proofErr w:type="spellEnd"/>
      <w:r w:rsidRPr="00737ECF">
        <w:rPr>
          <w:rFonts w:asciiTheme="majorBidi" w:hAnsiTheme="majorBidi" w:cstheme="majorBidi"/>
        </w:rPr>
        <w:t xml:space="preserve"> dans </w:t>
      </w:r>
      <w:proofErr w:type="spellStart"/>
      <w:r w:rsidRPr="00737ECF">
        <w:rPr>
          <w:rFonts w:asciiTheme="majorBidi" w:hAnsiTheme="majorBidi" w:cstheme="majorBidi"/>
        </w:rPr>
        <w:t>l’espace</w:t>
      </w:r>
      <w:proofErr w:type="spellEnd"/>
      <w:r w:rsidRPr="00737ECF">
        <w:rPr>
          <w:rFonts w:asciiTheme="majorBidi" w:hAnsiTheme="majorBidi" w:cstheme="majorBidi"/>
        </w:rPr>
        <w:t xml:space="preserve"> </w:t>
      </w:r>
      <w:proofErr w:type="spellStart"/>
      <w:r w:rsidRPr="00737ECF">
        <w:rPr>
          <w:rFonts w:asciiTheme="majorBidi" w:hAnsiTheme="majorBidi" w:cstheme="majorBidi"/>
        </w:rPr>
        <w:t>réduit</w:t>
      </w:r>
      <w:proofErr w:type="spellEnd"/>
      <w:r w:rsidRPr="00737ECF">
        <w:rPr>
          <w:rFonts w:asciiTheme="majorBidi" w:hAnsiTheme="majorBidi" w:cstheme="majorBidi"/>
        </w:rPr>
        <w:t xml:space="preserve">, </w:t>
      </w:r>
      <w:proofErr w:type="spellStart"/>
      <w:r w:rsidRPr="00737ECF">
        <w:rPr>
          <w:rFonts w:asciiTheme="majorBidi" w:hAnsiTheme="majorBidi" w:cstheme="majorBidi"/>
        </w:rPr>
        <w:t>ce</w:t>
      </w:r>
      <w:proofErr w:type="spellEnd"/>
      <w:r w:rsidRPr="00737ECF">
        <w:rPr>
          <w:rFonts w:asciiTheme="majorBidi" w:hAnsiTheme="majorBidi" w:cstheme="majorBidi"/>
        </w:rPr>
        <w:t xml:space="preserve"> qui </w:t>
      </w:r>
      <w:proofErr w:type="spellStart"/>
      <w:r w:rsidRPr="00737ECF">
        <w:rPr>
          <w:rFonts w:asciiTheme="majorBidi" w:hAnsiTheme="majorBidi" w:cstheme="majorBidi"/>
        </w:rPr>
        <w:t>est</w:t>
      </w:r>
      <w:proofErr w:type="spellEnd"/>
      <w:r w:rsidRPr="00737ECF">
        <w:rPr>
          <w:rFonts w:asciiTheme="majorBidi" w:hAnsiTheme="majorBidi" w:cstheme="majorBidi"/>
        </w:rPr>
        <w:t xml:space="preserve"> un bon </w:t>
      </w:r>
      <w:proofErr w:type="spellStart"/>
      <w:r w:rsidRPr="00737ECF">
        <w:rPr>
          <w:rFonts w:asciiTheme="majorBidi" w:hAnsiTheme="majorBidi" w:cstheme="majorBidi"/>
        </w:rPr>
        <w:t>indicateur</w:t>
      </w:r>
      <w:proofErr w:type="spellEnd"/>
      <w:r w:rsidRPr="00737ECF">
        <w:rPr>
          <w:rFonts w:asciiTheme="majorBidi" w:hAnsiTheme="majorBidi" w:cstheme="majorBidi"/>
        </w:rPr>
        <w:t xml:space="preserve"> de la </w:t>
      </w:r>
      <w:proofErr w:type="spellStart"/>
      <w:r w:rsidRPr="00737ECF">
        <w:rPr>
          <w:rFonts w:asciiTheme="majorBidi" w:hAnsiTheme="majorBidi" w:cstheme="majorBidi"/>
          <w:b/>
          <w:bCs/>
        </w:rPr>
        <w:t>qualité</w:t>
      </w:r>
      <w:proofErr w:type="spellEnd"/>
      <w:r w:rsidRPr="00737ECF">
        <w:rPr>
          <w:rFonts w:asciiTheme="majorBidi" w:hAnsiTheme="majorBidi" w:cstheme="majorBidi"/>
          <w:b/>
          <w:bCs/>
        </w:rPr>
        <w:t xml:space="preserve"> du clustering</w:t>
      </w:r>
      <w:r w:rsidRPr="00737ECF">
        <w:rPr>
          <w:rFonts w:asciiTheme="majorBidi" w:hAnsiTheme="majorBidi" w:cstheme="majorBidi"/>
        </w:rPr>
        <w:t xml:space="preserve"> </w:t>
      </w:r>
      <w:proofErr w:type="spellStart"/>
      <w:r w:rsidRPr="00737ECF">
        <w:rPr>
          <w:rFonts w:asciiTheme="majorBidi" w:hAnsiTheme="majorBidi" w:cstheme="majorBidi"/>
        </w:rPr>
        <w:t>réalisé</w:t>
      </w:r>
      <w:proofErr w:type="spellEnd"/>
      <w:r w:rsidRPr="00737ECF">
        <w:rPr>
          <w:rFonts w:asciiTheme="majorBidi" w:hAnsiTheme="majorBidi" w:cstheme="majorBidi"/>
        </w:rPr>
        <w:t>.</w:t>
      </w:r>
    </w:p>
    <w:p w14:paraId="184AAA1A" w14:textId="4975C07B" w:rsidR="00737ECF" w:rsidRPr="00737ECF" w:rsidRDefault="00737ECF" w:rsidP="00737ECF">
      <w:pPr>
        <w:tabs>
          <w:tab w:val="left" w:pos="1608"/>
        </w:tabs>
        <w:rPr>
          <w:rFonts w:asciiTheme="majorBidi" w:hAnsiTheme="majorBidi" w:cstheme="majorBidi"/>
          <w:lang w:val="fr-FR"/>
        </w:rPr>
      </w:pPr>
    </w:p>
    <w:sectPr w:rsidR="00737ECF" w:rsidRPr="00737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0E17"/>
    <w:multiLevelType w:val="multilevel"/>
    <w:tmpl w:val="8A66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5287D"/>
    <w:multiLevelType w:val="multilevel"/>
    <w:tmpl w:val="DADE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3626A"/>
    <w:multiLevelType w:val="multilevel"/>
    <w:tmpl w:val="7AE4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E412E"/>
    <w:multiLevelType w:val="multilevel"/>
    <w:tmpl w:val="AAB0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C2DC9"/>
    <w:multiLevelType w:val="multilevel"/>
    <w:tmpl w:val="686A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E008A"/>
    <w:multiLevelType w:val="multilevel"/>
    <w:tmpl w:val="B2782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61075"/>
    <w:multiLevelType w:val="multilevel"/>
    <w:tmpl w:val="2C7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00A78"/>
    <w:multiLevelType w:val="multilevel"/>
    <w:tmpl w:val="79FAF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7399E"/>
    <w:multiLevelType w:val="multilevel"/>
    <w:tmpl w:val="3708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77415"/>
    <w:multiLevelType w:val="multilevel"/>
    <w:tmpl w:val="13B4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C0783"/>
    <w:multiLevelType w:val="multilevel"/>
    <w:tmpl w:val="CAD2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61335"/>
    <w:multiLevelType w:val="multilevel"/>
    <w:tmpl w:val="34B6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472DC1"/>
    <w:multiLevelType w:val="multilevel"/>
    <w:tmpl w:val="E3F8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9557AB"/>
    <w:multiLevelType w:val="multilevel"/>
    <w:tmpl w:val="F51A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157E2F"/>
    <w:multiLevelType w:val="multilevel"/>
    <w:tmpl w:val="328E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C64AB"/>
    <w:multiLevelType w:val="multilevel"/>
    <w:tmpl w:val="8D36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D23D35"/>
    <w:multiLevelType w:val="multilevel"/>
    <w:tmpl w:val="C3BA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3F3E02"/>
    <w:multiLevelType w:val="multilevel"/>
    <w:tmpl w:val="06AA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E931B8"/>
    <w:multiLevelType w:val="multilevel"/>
    <w:tmpl w:val="1610A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684708"/>
    <w:multiLevelType w:val="multilevel"/>
    <w:tmpl w:val="80D01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720529"/>
    <w:multiLevelType w:val="multilevel"/>
    <w:tmpl w:val="4668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1F1479"/>
    <w:multiLevelType w:val="multilevel"/>
    <w:tmpl w:val="2F94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141807"/>
    <w:multiLevelType w:val="multilevel"/>
    <w:tmpl w:val="F6D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BA6838"/>
    <w:multiLevelType w:val="multilevel"/>
    <w:tmpl w:val="E0CE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E2231F"/>
    <w:multiLevelType w:val="multilevel"/>
    <w:tmpl w:val="4CD4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916021"/>
    <w:multiLevelType w:val="multilevel"/>
    <w:tmpl w:val="3B30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273D1E"/>
    <w:multiLevelType w:val="multilevel"/>
    <w:tmpl w:val="AC721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589399">
    <w:abstractNumId w:val="1"/>
  </w:num>
  <w:num w:numId="2" w16cid:durableId="935289478">
    <w:abstractNumId w:val="2"/>
  </w:num>
  <w:num w:numId="3" w16cid:durableId="691614138">
    <w:abstractNumId w:val="25"/>
  </w:num>
  <w:num w:numId="4" w16cid:durableId="249387208">
    <w:abstractNumId w:val="21"/>
  </w:num>
  <w:num w:numId="5" w16cid:durableId="1739093510">
    <w:abstractNumId w:val="15"/>
  </w:num>
  <w:num w:numId="6" w16cid:durableId="1320036325">
    <w:abstractNumId w:val="6"/>
  </w:num>
  <w:num w:numId="7" w16cid:durableId="1026904624">
    <w:abstractNumId w:val="12"/>
  </w:num>
  <w:num w:numId="8" w16cid:durableId="1697196901">
    <w:abstractNumId w:val="14"/>
  </w:num>
  <w:num w:numId="9" w16cid:durableId="1462266895">
    <w:abstractNumId w:val="9"/>
  </w:num>
  <w:num w:numId="10" w16cid:durableId="1228762137">
    <w:abstractNumId w:val="16"/>
  </w:num>
  <w:num w:numId="11" w16cid:durableId="520434644">
    <w:abstractNumId w:val="17"/>
  </w:num>
  <w:num w:numId="12" w16cid:durableId="230585790">
    <w:abstractNumId w:val="0"/>
  </w:num>
  <w:num w:numId="13" w16cid:durableId="1886722522">
    <w:abstractNumId w:val="20"/>
  </w:num>
  <w:num w:numId="14" w16cid:durableId="842889999">
    <w:abstractNumId w:val="26"/>
  </w:num>
  <w:num w:numId="15" w16cid:durableId="1845322849">
    <w:abstractNumId w:val="18"/>
  </w:num>
  <w:num w:numId="16" w16cid:durableId="1878424548">
    <w:abstractNumId w:val="5"/>
  </w:num>
  <w:num w:numId="17" w16cid:durableId="1983390110">
    <w:abstractNumId w:val="7"/>
  </w:num>
  <w:num w:numId="18" w16cid:durableId="1773549081">
    <w:abstractNumId w:val="19"/>
  </w:num>
  <w:num w:numId="19" w16cid:durableId="1284309689">
    <w:abstractNumId w:val="4"/>
  </w:num>
  <w:num w:numId="20" w16cid:durableId="1996950031">
    <w:abstractNumId w:val="11"/>
  </w:num>
  <w:num w:numId="21" w16cid:durableId="512378449">
    <w:abstractNumId w:val="8"/>
  </w:num>
  <w:num w:numId="22" w16cid:durableId="503781207">
    <w:abstractNumId w:val="3"/>
  </w:num>
  <w:num w:numId="23" w16cid:durableId="95834917">
    <w:abstractNumId w:val="22"/>
  </w:num>
  <w:num w:numId="24" w16cid:durableId="1639141649">
    <w:abstractNumId w:val="24"/>
  </w:num>
  <w:num w:numId="25" w16cid:durableId="1432043003">
    <w:abstractNumId w:val="13"/>
  </w:num>
  <w:num w:numId="26" w16cid:durableId="386993244">
    <w:abstractNumId w:val="10"/>
  </w:num>
  <w:num w:numId="27" w16cid:durableId="96692929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CF"/>
    <w:rsid w:val="0051670B"/>
    <w:rsid w:val="00737ECF"/>
    <w:rsid w:val="00F20FAA"/>
    <w:rsid w:val="00FD29CF"/>
    <w:rsid w:val="00FD79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850FB"/>
  <w15:chartTrackingRefBased/>
  <w15:docId w15:val="{534175D4-3FF7-4606-804A-DAA97BFF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9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9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9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9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9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9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9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9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9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9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9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9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9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9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9CF"/>
    <w:rPr>
      <w:rFonts w:eastAsiaTheme="majorEastAsia" w:cstheme="majorBidi"/>
      <w:color w:val="272727" w:themeColor="text1" w:themeTint="D8"/>
    </w:rPr>
  </w:style>
  <w:style w:type="paragraph" w:styleId="Title">
    <w:name w:val="Title"/>
    <w:basedOn w:val="Normal"/>
    <w:next w:val="Normal"/>
    <w:link w:val="TitleChar"/>
    <w:uiPriority w:val="10"/>
    <w:qFormat/>
    <w:rsid w:val="00FD29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9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9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9CF"/>
    <w:pPr>
      <w:spacing w:before="160"/>
      <w:jc w:val="center"/>
    </w:pPr>
    <w:rPr>
      <w:i/>
      <w:iCs/>
      <w:color w:val="404040" w:themeColor="text1" w:themeTint="BF"/>
    </w:rPr>
  </w:style>
  <w:style w:type="character" w:customStyle="1" w:styleId="QuoteChar">
    <w:name w:val="Quote Char"/>
    <w:basedOn w:val="DefaultParagraphFont"/>
    <w:link w:val="Quote"/>
    <w:uiPriority w:val="29"/>
    <w:rsid w:val="00FD29CF"/>
    <w:rPr>
      <w:i/>
      <w:iCs/>
      <w:color w:val="404040" w:themeColor="text1" w:themeTint="BF"/>
    </w:rPr>
  </w:style>
  <w:style w:type="paragraph" w:styleId="ListParagraph">
    <w:name w:val="List Paragraph"/>
    <w:basedOn w:val="Normal"/>
    <w:uiPriority w:val="34"/>
    <w:qFormat/>
    <w:rsid w:val="00FD29CF"/>
    <w:pPr>
      <w:ind w:left="720"/>
      <w:contextualSpacing/>
    </w:pPr>
  </w:style>
  <w:style w:type="character" w:styleId="IntenseEmphasis">
    <w:name w:val="Intense Emphasis"/>
    <w:basedOn w:val="DefaultParagraphFont"/>
    <w:uiPriority w:val="21"/>
    <w:qFormat/>
    <w:rsid w:val="00FD29CF"/>
    <w:rPr>
      <w:i/>
      <w:iCs/>
      <w:color w:val="0F4761" w:themeColor="accent1" w:themeShade="BF"/>
    </w:rPr>
  </w:style>
  <w:style w:type="paragraph" w:styleId="IntenseQuote">
    <w:name w:val="Intense Quote"/>
    <w:basedOn w:val="Normal"/>
    <w:next w:val="Normal"/>
    <w:link w:val="IntenseQuoteChar"/>
    <w:uiPriority w:val="30"/>
    <w:qFormat/>
    <w:rsid w:val="00FD29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9CF"/>
    <w:rPr>
      <w:i/>
      <w:iCs/>
      <w:color w:val="0F4761" w:themeColor="accent1" w:themeShade="BF"/>
    </w:rPr>
  </w:style>
  <w:style w:type="character" w:styleId="IntenseReference">
    <w:name w:val="Intense Reference"/>
    <w:basedOn w:val="DefaultParagraphFont"/>
    <w:uiPriority w:val="32"/>
    <w:qFormat/>
    <w:rsid w:val="00FD29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87633">
      <w:bodyDiv w:val="1"/>
      <w:marLeft w:val="0"/>
      <w:marRight w:val="0"/>
      <w:marTop w:val="0"/>
      <w:marBottom w:val="0"/>
      <w:divBdr>
        <w:top w:val="none" w:sz="0" w:space="0" w:color="auto"/>
        <w:left w:val="none" w:sz="0" w:space="0" w:color="auto"/>
        <w:bottom w:val="none" w:sz="0" w:space="0" w:color="auto"/>
        <w:right w:val="none" w:sz="0" w:space="0" w:color="auto"/>
      </w:divBdr>
    </w:div>
    <w:div w:id="101266199">
      <w:bodyDiv w:val="1"/>
      <w:marLeft w:val="0"/>
      <w:marRight w:val="0"/>
      <w:marTop w:val="0"/>
      <w:marBottom w:val="0"/>
      <w:divBdr>
        <w:top w:val="none" w:sz="0" w:space="0" w:color="auto"/>
        <w:left w:val="none" w:sz="0" w:space="0" w:color="auto"/>
        <w:bottom w:val="none" w:sz="0" w:space="0" w:color="auto"/>
        <w:right w:val="none" w:sz="0" w:space="0" w:color="auto"/>
      </w:divBdr>
    </w:div>
    <w:div w:id="116291667">
      <w:bodyDiv w:val="1"/>
      <w:marLeft w:val="0"/>
      <w:marRight w:val="0"/>
      <w:marTop w:val="0"/>
      <w:marBottom w:val="0"/>
      <w:divBdr>
        <w:top w:val="none" w:sz="0" w:space="0" w:color="auto"/>
        <w:left w:val="none" w:sz="0" w:space="0" w:color="auto"/>
        <w:bottom w:val="none" w:sz="0" w:space="0" w:color="auto"/>
        <w:right w:val="none" w:sz="0" w:space="0" w:color="auto"/>
      </w:divBdr>
    </w:div>
    <w:div w:id="151020743">
      <w:bodyDiv w:val="1"/>
      <w:marLeft w:val="0"/>
      <w:marRight w:val="0"/>
      <w:marTop w:val="0"/>
      <w:marBottom w:val="0"/>
      <w:divBdr>
        <w:top w:val="none" w:sz="0" w:space="0" w:color="auto"/>
        <w:left w:val="none" w:sz="0" w:space="0" w:color="auto"/>
        <w:bottom w:val="none" w:sz="0" w:space="0" w:color="auto"/>
        <w:right w:val="none" w:sz="0" w:space="0" w:color="auto"/>
      </w:divBdr>
    </w:div>
    <w:div w:id="161285082">
      <w:bodyDiv w:val="1"/>
      <w:marLeft w:val="0"/>
      <w:marRight w:val="0"/>
      <w:marTop w:val="0"/>
      <w:marBottom w:val="0"/>
      <w:divBdr>
        <w:top w:val="none" w:sz="0" w:space="0" w:color="auto"/>
        <w:left w:val="none" w:sz="0" w:space="0" w:color="auto"/>
        <w:bottom w:val="none" w:sz="0" w:space="0" w:color="auto"/>
        <w:right w:val="none" w:sz="0" w:space="0" w:color="auto"/>
      </w:divBdr>
    </w:div>
    <w:div w:id="177890075">
      <w:bodyDiv w:val="1"/>
      <w:marLeft w:val="0"/>
      <w:marRight w:val="0"/>
      <w:marTop w:val="0"/>
      <w:marBottom w:val="0"/>
      <w:divBdr>
        <w:top w:val="none" w:sz="0" w:space="0" w:color="auto"/>
        <w:left w:val="none" w:sz="0" w:space="0" w:color="auto"/>
        <w:bottom w:val="none" w:sz="0" w:space="0" w:color="auto"/>
        <w:right w:val="none" w:sz="0" w:space="0" w:color="auto"/>
      </w:divBdr>
    </w:div>
    <w:div w:id="350765558">
      <w:bodyDiv w:val="1"/>
      <w:marLeft w:val="0"/>
      <w:marRight w:val="0"/>
      <w:marTop w:val="0"/>
      <w:marBottom w:val="0"/>
      <w:divBdr>
        <w:top w:val="none" w:sz="0" w:space="0" w:color="auto"/>
        <w:left w:val="none" w:sz="0" w:space="0" w:color="auto"/>
        <w:bottom w:val="none" w:sz="0" w:space="0" w:color="auto"/>
        <w:right w:val="none" w:sz="0" w:space="0" w:color="auto"/>
      </w:divBdr>
    </w:div>
    <w:div w:id="421296662">
      <w:bodyDiv w:val="1"/>
      <w:marLeft w:val="0"/>
      <w:marRight w:val="0"/>
      <w:marTop w:val="0"/>
      <w:marBottom w:val="0"/>
      <w:divBdr>
        <w:top w:val="none" w:sz="0" w:space="0" w:color="auto"/>
        <w:left w:val="none" w:sz="0" w:space="0" w:color="auto"/>
        <w:bottom w:val="none" w:sz="0" w:space="0" w:color="auto"/>
        <w:right w:val="none" w:sz="0" w:space="0" w:color="auto"/>
      </w:divBdr>
    </w:div>
    <w:div w:id="542055596">
      <w:bodyDiv w:val="1"/>
      <w:marLeft w:val="0"/>
      <w:marRight w:val="0"/>
      <w:marTop w:val="0"/>
      <w:marBottom w:val="0"/>
      <w:divBdr>
        <w:top w:val="none" w:sz="0" w:space="0" w:color="auto"/>
        <w:left w:val="none" w:sz="0" w:space="0" w:color="auto"/>
        <w:bottom w:val="none" w:sz="0" w:space="0" w:color="auto"/>
        <w:right w:val="none" w:sz="0" w:space="0" w:color="auto"/>
      </w:divBdr>
    </w:div>
    <w:div w:id="632709537">
      <w:bodyDiv w:val="1"/>
      <w:marLeft w:val="0"/>
      <w:marRight w:val="0"/>
      <w:marTop w:val="0"/>
      <w:marBottom w:val="0"/>
      <w:divBdr>
        <w:top w:val="none" w:sz="0" w:space="0" w:color="auto"/>
        <w:left w:val="none" w:sz="0" w:space="0" w:color="auto"/>
        <w:bottom w:val="none" w:sz="0" w:space="0" w:color="auto"/>
        <w:right w:val="none" w:sz="0" w:space="0" w:color="auto"/>
      </w:divBdr>
    </w:div>
    <w:div w:id="878054718">
      <w:bodyDiv w:val="1"/>
      <w:marLeft w:val="0"/>
      <w:marRight w:val="0"/>
      <w:marTop w:val="0"/>
      <w:marBottom w:val="0"/>
      <w:divBdr>
        <w:top w:val="none" w:sz="0" w:space="0" w:color="auto"/>
        <w:left w:val="none" w:sz="0" w:space="0" w:color="auto"/>
        <w:bottom w:val="none" w:sz="0" w:space="0" w:color="auto"/>
        <w:right w:val="none" w:sz="0" w:space="0" w:color="auto"/>
      </w:divBdr>
    </w:div>
    <w:div w:id="951521654">
      <w:bodyDiv w:val="1"/>
      <w:marLeft w:val="0"/>
      <w:marRight w:val="0"/>
      <w:marTop w:val="0"/>
      <w:marBottom w:val="0"/>
      <w:divBdr>
        <w:top w:val="none" w:sz="0" w:space="0" w:color="auto"/>
        <w:left w:val="none" w:sz="0" w:space="0" w:color="auto"/>
        <w:bottom w:val="none" w:sz="0" w:space="0" w:color="auto"/>
        <w:right w:val="none" w:sz="0" w:space="0" w:color="auto"/>
      </w:divBdr>
    </w:div>
    <w:div w:id="961226811">
      <w:bodyDiv w:val="1"/>
      <w:marLeft w:val="0"/>
      <w:marRight w:val="0"/>
      <w:marTop w:val="0"/>
      <w:marBottom w:val="0"/>
      <w:divBdr>
        <w:top w:val="none" w:sz="0" w:space="0" w:color="auto"/>
        <w:left w:val="none" w:sz="0" w:space="0" w:color="auto"/>
        <w:bottom w:val="none" w:sz="0" w:space="0" w:color="auto"/>
        <w:right w:val="none" w:sz="0" w:space="0" w:color="auto"/>
      </w:divBdr>
    </w:div>
    <w:div w:id="1362366704">
      <w:bodyDiv w:val="1"/>
      <w:marLeft w:val="0"/>
      <w:marRight w:val="0"/>
      <w:marTop w:val="0"/>
      <w:marBottom w:val="0"/>
      <w:divBdr>
        <w:top w:val="none" w:sz="0" w:space="0" w:color="auto"/>
        <w:left w:val="none" w:sz="0" w:space="0" w:color="auto"/>
        <w:bottom w:val="none" w:sz="0" w:space="0" w:color="auto"/>
        <w:right w:val="none" w:sz="0" w:space="0" w:color="auto"/>
      </w:divBdr>
    </w:div>
    <w:div w:id="1499929527">
      <w:bodyDiv w:val="1"/>
      <w:marLeft w:val="0"/>
      <w:marRight w:val="0"/>
      <w:marTop w:val="0"/>
      <w:marBottom w:val="0"/>
      <w:divBdr>
        <w:top w:val="none" w:sz="0" w:space="0" w:color="auto"/>
        <w:left w:val="none" w:sz="0" w:space="0" w:color="auto"/>
        <w:bottom w:val="none" w:sz="0" w:space="0" w:color="auto"/>
        <w:right w:val="none" w:sz="0" w:space="0" w:color="auto"/>
      </w:divBdr>
    </w:div>
    <w:div w:id="1661540817">
      <w:bodyDiv w:val="1"/>
      <w:marLeft w:val="0"/>
      <w:marRight w:val="0"/>
      <w:marTop w:val="0"/>
      <w:marBottom w:val="0"/>
      <w:divBdr>
        <w:top w:val="none" w:sz="0" w:space="0" w:color="auto"/>
        <w:left w:val="none" w:sz="0" w:space="0" w:color="auto"/>
        <w:bottom w:val="none" w:sz="0" w:space="0" w:color="auto"/>
        <w:right w:val="none" w:sz="0" w:space="0" w:color="auto"/>
      </w:divBdr>
    </w:div>
    <w:div w:id="1910966031">
      <w:bodyDiv w:val="1"/>
      <w:marLeft w:val="0"/>
      <w:marRight w:val="0"/>
      <w:marTop w:val="0"/>
      <w:marBottom w:val="0"/>
      <w:divBdr>
        <w:top w:val="none" w:sz="0" w:space="0" w:color="auto"/>
        <w:left w:val="none" w:sz="0" w:space="0" w:color="auto"/>
        <w:bottom w:val="none" w:sz="0" w:space="0" w:color="auto"/>
        <w:right w:val="none" w:sz="0" w:space="0" w:color="auto"/>
      </w:divBdr>
    </w:div>
    <w:div w:id="1961567225">
      <w:bodyDiv w:val="1"/>
      <w:marLeft w:val="0"/>
      <w:marRight w:val="0"/>
      <w:marTop w:val="0"/>
      <w:marBottom w:val="0"/>
      <w:divBdr>
        <w:top w:val="none" w:sz="0" w:space="0" w:color="auto"/>
        <w:left w:val="none" w:sz="0" w:space="0" w:color="auto"/>
        <w:bottom w:val="none" w:sz="0" w:space="0" w:color="auto"/>
        <w:right w:val="none" w:sz="0" w:space="0" w:color="auto"/>
      </w:divBdr>
    </w:div>
    <w:div w:id="1968662329">
      <w:bodyDiv w:val="1"/>
      <w:marLeft w:val="0"/>
      <w:marRight w:val="0"/>
      <w:marTop w:val="0"/>
      <w:marBottom w:val="0"/>
      <w:divBdr>
        <w:top w:val="none" w:sz="0" w:space="0" w:color="auto"/>
        <w:left w:val="none" w:sz="0" w:space="0" w:color="auto"/>
        <w:bottom w:val="none" w:sz="0" w:space="0" w:color="auto"/>
        <w:right w:val="none" w:sz="0" w:space="0" w:color="auto"/>
      </w:divBdr>
    </w:div>
    <w:div w:id="212738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6EA69EFE0F9543B8E741E9EF80B264" ma:contentTypeVersion="11" ma:contentTypeDescription="Crée un document." ma:contentTypeScope="" ma:versionID="fffffc61f9ad6ccb08c7b5a2af535bbe">
  <xsd:schema xmlns:xsd="http://www.w3.org/2001/XMLSchema" xmlns:xs="http://www.w3.org/2001/XMLSchema" xmlns:p="http://schemas.microsoft.com/office/2006/metadata/properties" xmlns:ns3="bbf1293e-4a82-4f1e-8804-a5418a145bc0" targetNamespace="http://schemas.microsoft.com/office/2006/metadata/properties" ma:root="true" ma:fieldsID="5dc408abf1a91dc81253b76f00d96ce9" ns3:_="">
    <xsd:import namespace="bbf1293e-4a82-4f1e-8804-a5418a145bc0"/>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f1293e-4a82-4f1e-8804-a5418a145bc0"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bf1293e-4a82-4f1e-8804-a5418a145bc0" xsi:nil="true"/>
  </documentManagement>
</p:properties>
</file>

<file path=customXml/itemProps1.xml><?xml version="1.0" encoding="utf-8"?>
<ds:datastoreItem xmlns:ds="http://schemas.openxmlformats.org/officeDocument/2006/customXml" ds:itemID="{85910FA8-260B-41C1-88A0-810C1F99AC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f1293e-4a82-4f1e-8804-a5418a145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778A36-D69C-4B57-8742-C5800715D4F3}">
  <ds:schemaRefs>
    <ds:schemaRef ds:uri="http://schemas.microsoft.com/sharepoint/v3/contenttype/forms"/>
  </ds:schemaRefs>
</ds:datastoreItem>
</file>

<file path=customXml/itemProps3.xml><?xml version="1.0" encoding="utf-8"?>
<ds:datastoreItem xmlns:ds="http://schemas.openxmlformats.org/officeDocument/2006/customXml" ds:itemID="{48B87AF3-1BFA-4AB5-8917-6304BD7BC528}">
  <ds:schemaRefs>
    <ds:schemaRef ds:uri="http://www.w3.org/XML/1998/namespace"/>
    <ds:schemaRef ds:uri="bbf1293e-4a82-4f1e-8804-a5418a145bc0"/>
    <ds:schemaRef ds:uri="http://purl.org/dc/dcmitype/"/>
    <ds:schemaRef ds:uri="http://purl.org/dc/term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SAYH</dc:creator>
  <cp:keywords/>
  <dc:description/>
  <cp:lastModifiedBy>ILYAS SAYH</cp:lastModifiedBy>
  <cp:revision>2</cp:revision>
  <dcterms:created xsi:type="dcterms:W3CDTF">2025-07-25T12:08:00Z</dcterms:created>
  <dcterms:modified xsi:type="dcterms:W3CDTF">2025-07-25T12:08:00Z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0x010100966EA69EFE0F9543B8E741E9EF80B264</vt:lpwstr>
  </property>
</Properties>
</file>