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Звіт до практичної роботи №1 з дисципліни «Інтелектуальна обробка даних»</w:t>
      </w:r>
    </w:p>
    <w:p>
      <w:pPr>
        <w:pStyle w:val="FirstParagraph"/>
        <w:ind w:firstLine="0"/>
      </w:pPr>
      <w:r>
        <w:rPr>
          <w:b/>
          <w:bCs/>
        </w:rPr>
        <w:t xml:space="preserve">Варіант:</w:t>
      </w:r>
      <w:r>
        <w:t xml:space="preserve"> 38 (файл </w:t>
      </w:r>
      <w:r>
        <w:rPr>
          <w:rStyle w:val="VerbatimChar"/>
        </w:rPr>
        <w:t xml:space="preserve">A38.txt</w:t>
      </w:r>
      <w:r>
        <w:t xml:space="preserve">)</w:t>
      </w:r>
    </w:p>
    <w:p>
      <w:pPr>
        <w:pStyle w:val="BodyText"/>
        <w:ind w:firstLine="0"/>
      </w:pPr>
      <w:r>
        <w:rPr>
          <w:b/>
          <w:bCs/>
        </w:rPr>
        <w:t xml:space="preserve">Виконавець:</w:t>
      </w:r>
      <w:r>
        <w:t xml:space="preserve"> Яценко І.С.</w:t>
      </w:r>
    </w:p>
    <w:p>
      <w:pPr>
        <w:pStyle w:val="BodyText"/>
        <w:ind w:firstLine="0"/>
      </w:pPr>
      <w:r>
        <w:rPr>
          <w:b/>
          <w:bCs/>
        </w:rPr>
        <w:t xml:space="preserve">Група:</w:t>
      </w:r>
      <w:r>
        <w:t xml:space="preserve"> ТК-42</w:t>
      </w:r>
    </w:p>
    <w:p>
      <w:pPr>
        <w:pStyle w:val="BodyText"/>
        <w:ind w:firstLine="0"/>
      </w:pPr>
      <w:r>
        <w:rPr>
          <w:b/>
          <w:bCs/>
        </w:rPr>
        <w:t xml:space="preserve">Дата:</w:t>
      </w:r>
      <w:r>
        <w:t xml:space="preserve"> 22.10.2026</w:t>
      </w:r>
    </w:p>
    <w:bookmarkStart w:id="9" w:name="мета-та-вихідні-дані"/>
    <w:p>
      <w:pPr>
        <w:pStyle w:val="Heading1"/>
      </w:pPr>
      <w:r>
        <w:t xml:space="preserve">Мета та вихідні дані</w:t>
      </w:r>
    </w:p>
    <w:p>
      <w:pPr>
        <w:pStyle w:val="FirstParagraph"/>
      </w:pPr>
      <w:r>
        <w:rPr>
          <w:b/>
          <w:bCs/>
        </w:rPr>
        <w:t xml:space="preserve">Мета роботи:</w:t>
      </w:r>
      <w:r>
        <w:t xml:space="preserve"> опанувати методи попереднього статистичного аналізу багатоканальних даних: описову статистику, одно- та двофакторний дисперсійний аналіз, кореляційний аналіз і спектральний аналіз на основі перетворення Фур’є.</w:t>
      </w:r>
    </w:p>
    <w:p>
      <w:pPr>
        <w:pStyle w:val="BodyText"/>
      </w:pPr>
      <w:r>
        <w:rPr>
          <w:b/>
          <w:bCs/>
        </w:rPr>
        <w:t xml:space="preserve">Вихідні дані:</w:t>
      </w:r>
      <w:r>
        <w:t xml:space="preserve"> файл </w:t>
      </w:r>
      <w:r>
        <w:rPr>
          <w:rStyle w:val="VerbatimChar"/>
        </w:rPr>
        <w:t xml:space="preserve">A38.txt</w:t>
      </w:r>
      <w:r>
        <w:t xml:space="preserve"> містить запис 12 каналів (амплітуда у відносних одиницях), довжина запису N = 5000 відліків. Сигнал схожий на 12-канальну ЕКГ, тому для переходу до герців взято частоту дискретизації FS = 500 Гц (тоді запис триває 10 с).</w:t>
      </w:r>
    </w:p>
    <w:p>
      <w:pPr>
        <w:pStyle w:val="BodyText"/>
      </w:pPr>
      <w:r>
        <w:rPr>
          <w:b/>
          <w:bCs/>
        </w:rPr>
        <w:t xml:space="preserve">Засоби:</w:t>
      </w:r>
      <w:r>
        <w:t xml:space="preserve"> Python 3.13, NumPy, pandas, SciPy, Matplotlib, Seaborn; код наведено в ноутбуці </w:t>
      </w:r>
      <w:r>
        <w:rPr>
          <w:rStyle w:val="VerbatimChar"/>
        </w:rPr>
        <w:t xml:space="preserve">lab1.ipynb</w:t>
      </w:r>
      <w:r>
        <w:t xml:space="preserve">. Рівень значущості α = 0.05.</w:t>
      </w:r>
    </w:p>
    <w:bookmarkEnd w:id="9"/>
    <w:bookmarkStart w:id="29" w:name="попередній-аналіз"/>
    <w:p>
      <w:pPr>
        <w:pStyle w:val="Heading1"/>
      </w:pPr>
      <w:r>
        <w:t xml:space="preserve">1. Попередній аналіз</w:t>
      </w:r>
    </w:p>
    <w:bookmarkStart w:id="19" w:name="графіки-даних"/>
    <w:p>
      <w:pPr>
        <w:pStyle w:val="Heading2"/>
      </w:pPr>
      <w:r>
        <w:t xml:space="preserve">1.1. Графіки даних</w:t>
      </w:r>
    </w:p>
    <w:p>
      <w:pPr>
        <w:pStyle w:val="CaptionedFigure"/>
        <w:keepNext/>
        <w:ind w:firstLine="0"/>
        <w:jc w:val="center"/>
      </w:pPr>
      <w:r>
        <w:drawing>
          <wp:inline>
            <wp:extent cx="5334000" cy="6106634"/>
            <wp:effectExtent b="0" l="0" r="0" t="0"/>
            <wp:docPr descr="Рис. 1. Дані по кожному з 12 каналів" title="" id="11" name="Picture"/>
            <a:graphic>
              <a:graphicData uri="http://schemas.openxmlformats.org/drawingml/2006/picture">
                <pic:pic>
                  <pic:nvPicPr>
                    <pic:cNvPr descr="img/cell3_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6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Дані по кожному з 12 каналів</w:t>
      </w:r>
    </w:p>
    <w:p>
      <w:pPr>
        <w:pStyle w:val="CaptionedFigure"/>
        <w:keepNext/>
        <w:ind w:firstLine="0"/>
        <w:jc w:val="center"/>
      </w:pPr>
      <w:r>
        <w:drawing>
          <wp:inline>
            <wp:extent cx="5334000" cy="3526017"/>
            <wp:effectExtent b="0" l="0" r="0" t="0"/>
            <wp:docPr descr="Рис. 2. Перший канал (угорі) та перші шість каналів разом (унизу)" title="" id="14" name="Picture"/>
            <a:graphic>
              <a:graphicData uri="http://schemas.openxmlformats.org/drawingml/2006/picture">
                <pic:pic>
                  <pic:nvPicPr>
                    <pic:cNvPr descr="img/cell4_0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Перший канал (угорі) та перші шість каналів разом (унизу)</w:t>
      </w:r>
    </w:p>
    <w:p>
      <w:pPr>
        <w:pStyle w:val="BodyText"/>
      </w:pPr>
      <w:r>
        <w:t xml:space="preserve">Модуль сигналу обчислено за метрикою Евкліда по всіх 12 каналах:</w:t>
      </w:r>
    </w:p>
    <w:p>
      <w:pPr>
        <w:pStyle w:val="BodyText"/>
        <w:keepNext w:val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12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CaptionedFigure"/>
        <w:keepNext/>
        <w:ind w:firstLine="0"/>
        <w:jc w:val="center"/>
      </w:pPr>
      <w:r>
        <w:drawing>
          <wp:inline>
            <wp:extent cx="5334000" cy="2125043"/>
            <wp:effectExtent b="0" l="0" r="0" t="0"/>
            <wp:docPr descr="Рис. 3. Модуль сигналу по 12 каналах" title="" id="17" name="Picture"/>
            <a:graphic>
              <a:graphicData uri="http://schemas.openxmlformats.org/drawingml/2006/picture">
                <pic:pic>
                  <pic:nvPicPr>
                    <pic:cNvPr descr="img/cell6_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5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Модуль сигналу по 12 каналах</w:t>
      </w:r>
    </w:p>
    <w:bookmarkEnd w:id="19"/>
    <w:bookmarkStart w:id="20" w:name="основні-статистичні-параметри"/>
    <w:p>
      <w:pPr>
        <w:pStyle w:val="Heading2"/>
      </w:pPr>
      <w:r>
        <w:t xml:space="preserve">1.2. Основні статистичні параметри</w:t>
      </w:r>
    </w:p>
    <w:p>
      <w:pPr>
        <w:pStyle w:val="FirstParagraph"/>
      </w:pPr>
      <w:r>
        <w:t xml:space="preserve">Середнє гармонічне та геометричне визначені лише для додатних даних. Для знакозмінних каналів їх обчислено для зсунутих значень x′ = x − min x + 1, після чого зсув віднято; для модуля сигналу зсув не потрібен. Середня різниця Джині:</w:t>
      </w:r>
    </w:p>
    <w:p>
      <w:pPr>
        <w:pStyle w:val="BodyText"/>
        <w:keepNext w:val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i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FirstParagraph"/>
      </w:pPr>
      <w:r>
        <w:t xml:space="preserve">Моду для неперервних даних знайдено за інтервальним рядом (50 інтервалів). Ексцес наведено у формі Фішера (для нормального розподілу дорівнює 0).</w:t>
      </w:r>
    </w:p>
    <w:p>
      <w:pPr>
        <w:pStyle w:val="BodyText"/>
        <w:keepNext/>
        <w:spacing w:before="160"/>
        <w:ind w:firstLine="0"/>
        <w:jc w:val="left"/>
      </w:pPr>
      <w:r>
        <w:t xml:space="preserve">Таблиця 1. Основні статистичні параметри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Змінна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Середнє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Сер. гарм.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Сер. геом.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Дисперсія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СКВ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Різниця Джині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Мода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Медіана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Асиметрія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Ексцес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27.68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−4.64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8.90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11 552.3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107.48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75.48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−14.76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−8.79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3.91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16.27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46.98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−25.54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−4.60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40 392.7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200.98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133.50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−11.64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−10.10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4.09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16.84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23.28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−15.94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−0.36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9 646.8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98.22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69.21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13.37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7.52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3.85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15.24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−38.39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−409.33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−83.68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23 620.6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153.69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103.68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21.66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10.85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−4.05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16.71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−0.60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−9.69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−2.73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400.1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20.00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20.46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7.81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0.34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−0.83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6.28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34.32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−25.82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−4.91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22 052.3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148.50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−0.32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0.87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4.07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16.61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−4.86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−33.36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−15.72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2 390.6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48.89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46.41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3.10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0.66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1.27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6.33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40.97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−32.65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2.09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26 411.5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162.52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108.22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18.65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8.05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3.85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15.04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65.75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−9.41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7.52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66 364.2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257.61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145.40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10.72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6.45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4.15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16.71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ch10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63.35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−14.66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4.32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66 756.6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258.37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147.67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10.46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11.74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4.20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17.11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ch11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62.18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−13.16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6.30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62 675.2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250.35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151.68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−8.56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−2.97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4.22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17.46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ch12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47.47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−11.93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4.59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35 401.7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188.15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122.34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−20.84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−4.72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4.16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17.47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Модуль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244.50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107.01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330 201.6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574.63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327.47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71.12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95.97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4.21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17.13</w:t>
            </w:r>
          </w:p>
        </w:tc>
      </w:tr>
    </w:tbl>
    <w:p>
      <w:pPr>
        <w:pStyle w:val="BodyText"/>
        <w:spacing w:before="160"/>
      </w:pPr>
      <w:r>
        <w:t xml:space="preserve">У всіх каналах, крім ch5 і ch7, середнє значно відрізняється від медіани та моди, а асиметрія ≈ ±4 і ексцес ≈ 15–17. Таке буває, коли більшість відліків лежить біля базової лінії, а рідкісні високі піки «тягнуть» середнє. У ch4 піки спрямовані вниз, тому асиметрія від’ємна.</w:t>
      </w:r>
    </w:p>
    <w:bookmarkEnd w:id="20"/>
    <w:bookmarkStart w:id="27" w:name="гістограми-та-перевірка-нормальності"/>
    <w:p>
      <w:pPr>
        <w:pStyle w:val="Heading2"/>
      </w:pPr>
      <w:r>
        <w:t xml:space="preserve">1.3. Гістограми та перевірка нормальності</w:t>
      </w:r>
    </w:p>
    <w:p>
      <w:pPr>
        <w:pStyle w:val="CaptionedFigure"/>
        <w:keepNext/>
        <w:ind w:firstLine="0"/>
        <w:jc w:val="center"/>
      </w:pPr>
      <w:r>
        <w:drawing>
          <wp:inline>
            <wp:extent cx="5334000" cy="4530456"/>
            <wp:effectExtent b="0" l="0" r="0" t="0"/>
            <wp:docPr descr="Рис. 4. Гістограми каналів; червона крива — нормальна густина з параметрами (x̄, S²)" title="" id="22" name="Picture"/>
            <a:graphic>
              <a:graphicData uri="http://schemas.openxmlformats.org/drawingml/2006/picture">
                <pic:pic>
                  <pic:nvPicPr>
                    <pic:cNvPr descr="img/cell11_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Гістограми каналів; червона крива — нормальна густина з параметрами (x̄, S²)</w:t>
      </w:r>
    </w:p>
    <w:p>
      <w:pPr>
        <w:pStyle w:val="CaptionedFigure"/>
        <w:keepNext/>
        <w:ind w:firstLine="0"/>
        <w:jc w:val="center"/>
      </w:pPr>
      <w:r>
        <w:drawing>
          <wp:inline>
            <wp:extent cx="4679999" cy="2019525"/>
            <wp:effectExtent b="0" l="0" r="0" t="0"/>
            <wp:docPr descr="Рис. 5. Діаграма розподілу модуля сигналу" title="" id="25" name="Picture"/>
            <a:graphic>
              <a:graphicData uri="http://schemas.openxmlformats.org/drawingml/2006/picture">
                <pic:pic>
                  <pic:nvPicPr>
                    <pic:cNvPr descr="img/cell11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01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Діаграма розподілу модуля сигналу</w:t>
      </w:r>
    </w:p>
    <w:p>
      <w:pPr>
        <w:pStyle w:val="BodyText"/>
      </w:pPr>
      <w:r>
        <w:t xml:space="preserve">Гіпотезу H</w:t>
      </w:r>
      <w:r>
        <w:rPr>
          <w:vertAlign w:val="subscript"/>
        </w:rPr>
        <w:t xml:space="preserve">0</w:t>
      </w:r>
      <w:r>
        <w:t xml:space="preserve"> про нормальний розподіл перевірено за критерієм χ² Пірсона. Інтервали з теоретичною частотою np &lt; 5 об’єднано з сусідніми, число ступенів свободи ν = r − 3. Додатково використано критерій Д’Агостіно–Пірсона.</w:t>
      </w:r>
    </w:p>
    <w:p>
      <w:pPr>
        <w:pStyle w:val="BodyText"/>
        <w:keepNext w:val="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  <w:keepNext/>
        <w:spacing w:before="160"/>
        <w:ind w:firstLine="0"/>
        <w:jc w:val="left"/>
      </w:pPr>
      <w:r>
        <w:t xml:space="preserve">Таблиця 2. Перевірка нормальності за критерієм χ²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Змінна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χ²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ν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χ²</w:t>
            </w:r>
            <w:r>
              <w:rPr>
                <w:rFonts w:ascii="Times New Roman" w:hAnsi="Times New Roman"/>
                <w:b/>
                <w:sz w:val="24"/>
                <w:vertAlign w:val="subscript"/>
              </w:rPr>
              <w:t xml:space="preserve">крит</w:t>
            </w:r>
            <w:r>
              <w:rPr>
                <w:rFonts w:ascii="Times New Roman" w:hAnsi="Times New Roman"/>
                <w:b/>
                <w:sz w:val="24"/>
              </w:rPr>
              <w:t xml:space="preserve"> (α = 0.05)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Висновок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19 567.6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25.00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12 388.7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26.30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13 577.1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26.30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11 339.8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25.00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1 215.6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23.68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11 665.3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26.30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6 135.2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31.41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15 948.0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26.30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20 895.1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25.00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ch10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26 318.3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25.00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ch11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17 462.8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25.00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ch12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13 058.7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25.00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Модуль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7 379.9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 відхиляється</w:t>
            </w:r>
          </w:p>
        </w:tc>
      </w:tr>
    </w:tbl>
    <w:p>
      <w:pPr>
        <w:pStyle w:val="BodyText"/>
        <w:spacing w:before="160"/>
      </w:pPr>
      <w:r>
        <w:t xml:space="preserve">За критерієм Д’Агостіно p-value ≈ 0 для всіх змінних, висновок той самий.</w:t>
      </w:r>
    </w:p>
    <w:bookmarkEnd w:id="27"/>
    <w:bookmarkStart w:id="28" w:name="нормалізація"/>
    <w:p>
      <w:pPr>
        <w:pStyle w:val="Heading2"/>
      </w:pPr>
      <w:r>
        <w:t xml:space="preserve">1.4. Нормалізація</w:t>
      </w:r>
    </w:p>
    <w:p>
      <w:pPr>
        <w:pStyle w:val="FirstParagraph"/>
      </w:pPr>
      <w:r>
        <w:t xml:space="preserve">Кожен стовпчик нормалізовано:</w:t>
      </w:r>
    </w:p>
    <w:p>
      <w:pPr>
        <w:pStyle w:val="BodyText"/>
        <w:keepNext w:val="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den>
          </m:f>
        </m:oMath>
      </m:oMathPara>
    </w:p>
    <w:p>
      <w:pPr>
        <w:pStyle w:val="FirstParagraph"/>
      </w:pPr>
      <w:r>
        <w:t xml:space="preserve">Після нормалізації в усіх 12 каналах середнє дорівнює 0, а дисперсія 1.</w:t>
      </w:r>
    </w:p>
    <w:bookmarkEnd w:id="28"/>
    <w:bookmarkEnd w:id="29"/>
    <w:bookmarkStart w:id="32" w:name="однофакторний-дисперсійний-аналіз"/>
    <w:p>
      <w:pPr>
        <w:pStyle w:val="Heading1"/>
      </w:pPr>
      <w:r>
        <w:t xml:space="preserve">2. Однофакторний дисперсійний аналіз</w:t>
      </w:r>
    </w:p>
    <w:p>
      <w:pPr>
        <w:pStyle w:val="BodyText"/>
      </w:pPr>
      <w:r>
        <w:t xml:space="preserve">Фактор A — номер каналу, k = 12 рівнів, на кожному рівні n = 5000 спостережень. Для кожного рівня обчислено вибіркову дисперсію:</w:t>
      </w:r>
    </w:p>
    <w:p>
      <w:pPr>
        <w:pStyle w:val="BodyText"/>
        <w:keepNext w:val="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Значення x̄</w:t>
      </w:r>
      <w:r>
        <w:rPr>
          <w:vertAlign w:val="subscript"/>
        </w:rPr>
        <w:t xml:space="preserve">i</w:t>
      </w:r>
      <w:r>
        <w:t xml:space="preserve"> і S</w:t>
      </w:r>
      <w:r>
        <w:rPr>
          <w:vertAlign w:val="subscript"/>
        </w:rPr>
        <w:t xml:space="preserve">i</w:t>
      </w:r>
      <w:r>
        <w:t xml:space="preserve">² збігаються з середнім і дисперсією каналів у таблиці 1. Дисперсії різняться майже в 170 разів: від 400.1 (ch5) до 66 756.6 (ch10).</w:t>
      </w:r>
    </w:p>
    <w:bookmarkStart w:id="30" w:name="перевірка-рівності-дисперсій"/>
    <w:p>
      <w:pPr>
        <w:pStyle w:val="Heading2"/>
      </w:pPr>
      <w:r>
        <w:t xml:space="preserve">2.1. Перевірка рівності дисперсій</w:t>
      </w:r>
    </w:p>
    <w:p>
      <w:pPr>
        <w:pStyle w:val="FirstParagraph"/>
      </w:pPr>
      <w:r>
        <w:t xml:space="preserve">Оскільки обсяги вибірок однакові, використано критерій Кохрена (лекція 2, слайд 74):</w:t>
      </w:r>
    </w:p>
    <w:p>
      <w:pPr>
        <w:pStyle w:val="BodyText"/>
        <w:keepNext w:val="0"/>
        <w:ind w:firstLine="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k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F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</m:den>
              </m:f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  <w:keepNext/>
        <w:spacing w:before="160"/>
        <w:ind w:firstLine="0"/>
        <w:jc w:val="left"/>
      </w:pPr>
      <w:r>
        <w:t xml:space="preserve">Таблиця 3. Перевірка рівності дисперсій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Критерій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Статистика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Критичне значення / p-value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Висновок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Кохрена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G = 0.1816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G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кр</w:t>
            </w:r>
            <w:r>
              <w:rPr>
                <w:rFonts w:ascii="Times New Roman" w:hAnsi="Times New Roman"/>
                <w:sz w:val="24"/>
              </w:rPr>
              <w:t xml:space="preserve"> = 0.0856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дисперсії неоднорідні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Бартлетта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35 336.58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p ≈ 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дисперсії неоднорідні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Левене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W = 97.71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p ≈ 1.6·10⁻²²¹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дисперсії неоднорідні</w:t>
            </w:r>
          </w:p>
        </w:tc>
      </w:tr>
    </w:tbl>
    <w:p>
      <w:pPr>
        <w:pStyle w:val="BodyText"/>
        <w:spacing w:before="160"/>
      </w:pPr>
      <w:r>
        <w:t xml:space="preserve">Отже, дисперсії неоднорідні, і умова дисперсійного аналізу не виконується. F-критерій обчислено за методикою, але його результат треба сприймати з обережністю, тому в п. 2.3 його перевірено методами, які не потребують цих умов.</w:t>
      </w:r>
    </w:p>
    <w:bookmarkEnd w:id="30"/>
    <w:bookmarkStart w:id="31" w:name="f-критерій"/>
    <w:p>
      <w:pPr>
        <w:pStyle w:val="Heading2"/>
      </w:pPr>
      <w:r>
        <w:t xml:space="preserve">2.2. F-критерій</w:t>
      </w:r>
    </w:p>
    <w:p>
      <w:pPr>
        <w:pStyle w:val="FirstParagraph"/>
        <w:keepNext w:val="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[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t>n</m:t>
              </m:r>
            </m:den>
          </m:f>
          <m:d>
            <m:dPr>
              <m:begChr m:val="(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keepNext/>
        <w:spacing w:before="160"/>
        <w:ind w:firstLine="0"/>
        <w:jc w:val="left"/>
      </w:pPr>
      <w:r>
        <w:t xml:space="preserve">Таблиця 4. Результати однофакторного аналізу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S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² (розсіювання поза впливом фактора)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30 638.74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S² (загальна вибіркова дисперсія)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31 552.49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S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A</w:t>
            </w:r>
            <w:r>
              <w:rPr>
                <w:rFonts w:ascii="Times New Roman" w:hAnsi="Times New Roman"/>
                <w:sz w:val="24"/>
              </w:rPr>
              <w:t xml:space="preserve">² (дисперсія, пов’язана з фактором)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5 014 678.04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F = S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A</w:t>
            </w:r>
            <w:r>
              <w:rPr>
                <w:rFonts w:ascii="Times New Roman" w:hAnsi="Times New Roman"/>
                <w:sz w:val="24"/>
              </w:rPr>
              <w:t xml:space="preserve">² / S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²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163.67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F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крит</w:t>
            </w:r>
            <w:r>
              <w:rPr>
                <w:rFonts w:ascii="Times New Roman" w:hAnsi="Times New Roman"/>
                <w:sz w:val="24"/>
              </w:rPr>
              <w:t xml:space="preserve"> = F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0.05</w:t>
            </w:r>
            <w:r>
              <w:rPr>
                <w:rFonts w:ascii="Times New Roman" w:hAnsi="Times New Roman"/>
                <w:sz w:val="24"/>
              </w:rPr>
              <w:t xml:space="preserve">(11; 59 988)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1.79</w:t>
            </w:r>
          </w:p>
        </w:tc>
      </w:tr>
    </w:tbl>
    <w:p>
      <w:pPr>
        <w:pStyle w:val="BodyText"/>
        <w:spacing w:before="160"/>
      </w:pPr>
      <w:r>
        <w:t xml:space="preserve">Оскільки F &gt; F</w:t>
      </w:r>
      <w:r>
        <w:rPr>
          <w:vertAlign w:val="subscript"/>
        </w:rPr>
        <w:t xml:space="preserve">крит</w:t>
      </w:r>
      <w:r>
        <w:t xml:space="preserve">, вплив фактора (номера каналу) на середнє значення значущий з імовірністю 0.95. Але умови класичного дисперсійного аналізу не виконуються, тому висновок додатково перевірено в п. 2.3. Середні каналів змінюються від −38.39 (ch4) до 65.75 (ch9).</w:t>
      </w:r>
      <w:r>
        <w:rPr>
          <w:rStyle w:val="VerbatimChar"/>
        </w:rPr>
        <w:t xml:space="preserve"/>
      </w:r>
      <w:r>
        <w:t xml:space="preserve"/>
      </w:r>
    </w:p>
    <w:bookmarkEnd w:id="31"/>
    <w:bookmarkEnd w:id="32"/>
    <w:bookmarkStart w:id="38" w:name="двофакторний-дисперсійний-аналіз"/>
    <w:p>
      <w:pPr>
        <w:pStyle w:val="Heading2"/>
      </w:pPr>
      <w:r>
        <w:t xml:space="preserve">2.3. Комплексний однофакторний аналіз</w:t>
      </w:r>
    </w:p>
    <w:p>
      <w:pPr>
        <w:pStyle w:val="FirstParagraph"/>
      </w:pPr>
      <w:r>
        <w:t xml:space="preserve">Згідно з лекцією 2 (слайди 91–93), класичний F-критерій застосовують, коли дані кожної вибірки нормальні і вибірки мають рівні теоретичні дисперсії. Тому однофакторний аналіз доповнено таким алгоритмом:</w:t>
      </w:r>
    </w:p>
    <w:p>
      <w:pPr>
        <w:pStyle w:val="BodyText"/>
      </w:pPr>
      <w:r>
        <w:t xml:space="preserve">1) перевірити нормальність кожної вибірки тестом Шапіро–Уілка;</w:t>
      </w:r>
    </w:p>
    <w:p>
      <w:pPr>
        <w:pStyle w:val="BodyText"/>
      </w:pPr>
      <w:r>
        <w:t xml:space="preserve">2) перевірити рівність дисперсій (критерії Кохрена, Бартлетта і Левене, п. 2.1);</w:t>
      </w:r>
    </w:p>
    <w:p>
      <w:pPr>
        <w:pStyle w:val="BodyText"/>
      </w:pPr>
      <w:r>
        <w:t xml:space="preserve">3) спробувати перетворити дані (добування кореня, логарифмування, арксинус), щоб умови виконались;</w:t>
      </w:r>
    </w:p>
    <w:p>
      <w:pPr>
        <w:pStyle w:val="BodyText"/>
      </w:pPr>
      <w:r>
        <w:t xml:space="preserve">4) вибрати тест: F-критерій Фішера, якщо умови виконуються; критерій Уелча, якщо не рівні лише дисперсії; непараметричний критерій Краскела–Уолліса, якщо не виконується жодна умова.</w:t>
      </w:r>
    </w:p>
    <w:p>
      <w:pPr>
        <w:pStyle w:val="BodyText"/>
      </w:pPr>
      <w:r>
        <w:t xml:space="preserve">Для логарифма й кореня дані зсунуто так, щоб вони були невід’ємні, для арксинуса кожен канал попередньо переведено у відрізок [0, 1]. Критерій Краскела–Уолліса перевіряє гіпотезу H</w:t>
      </w:r>
      <w:r>
        <w:rPr>
          <w:vertAlign w:val="subscript"/>
        </w:rPr>
        <w:t xml:space="preserve">0</w:t>
      </w:r>
      <w:r>
        <w:t xml:space="preserve"> про те, що всі k вибірок отримано з однієї генеральної сукупності. Його статистика при H</w:t>
      </w:r>
      <w:r>
        <w:rPr>
          <w:vertAlign w:val="subscript"/>
        </w:rPr>
        <w:t xml:space="preserve">0</w:t>
      </w:r>
      <w:r>
        <w:t xml:space="preserve"> має розподіл χ² з k − 1 = 11 ступенями свободи:</w:t>
      </w:r>
    </w:p>
    <w:p>
      <w:pPr>
        <w:pStyle w:val="BodyText"/>
        <w:keepNext w:val="0"/>
        <w:ind w:firstLine="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 R</w:t>
      </w:r>
      <w:r>
        <w:rPr>
          <w:vertAlign w:val="subscript"/>
        </w:rPr>
        <w:t xml:space="preserve">j</w:t>
      </w:r>
      <w:r>
        <w:t xml:space="preserve"> — сума рангів j-ї вибірки в об’єднаному ряду, n</w:t>
      </w:r>
      <w:r>
        <w:rPr>
          <w:vertAlign w:val="subscript"/>
        </w:rPr>
        <w:t xml:space="preserve">j</w:t>
      </w:r>
      <w:r>
        <w:t xml:space="preserve"> = 5000, N = 60 000.</w:t>
      </w:r>
    </w:p>
    <w:p>
      <w:pPr>
        <w:pStyle w:val="FirstParagraph"/>
        <w:keepNext/>
        <w:spacing w:before="160"/>
        <w:ind w:firstLine="0"/>
        <w:jc w:val="left"/>
      </w:pPr>
      <w:r>
        <w:t xml:space="preserve">Таблиця 5. Перевірка умов дисперсійного аналізу та непараметричні критерії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Критерій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Статистика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Критичне значення / p-value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Висновок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Шапіро–Уілка (нормальність кожного каналу)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p від 5.7·10⁻⁸⁶ до 3.2·10⁻⁴⁷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розподіли не нормальні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Перетворення √x, ln x, arcsin√x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p ≈ 0 за Шапіро–Уілком і Левене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умови не виконуються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Краскела–Уолліса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 = 513.59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H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кр</w:t>
            </w:r>
            <w:r>
              <w:rPr>
                <w:rFonts w:ascii="Times New Roman" w:hAnsi="Times New Roman"/>
                <w:sz w:val="24"/>
              </w:rPr>
              <w:t xml:space="preserve"> = 19.68; p ≈ 4.1·10⁻¹⁰³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вплив фактора значущий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Уелча, попарно (поправка Бонферроні, α/66)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66 пар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p &lt; 7.6·10⁻⁴ для 55 пар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55 з 66 пар відрізняються</w:t>
            </w:r>
          </w:p>
        </w:tc>
      </w:tr>
    </w:tbl>
    <w:p>
      <w:pPr>
        <w:pStyle w:val="BodyText"/>
        <w:spacing w:before="160"/>
      </w:pPr>
      <w:r>
        <w:t xml:space="preserve">Нормальності немає в жодному каналі, дисперсії неоднорідні, і жодне перетворення цього не виправляє. Отже, це випадок 4 з лекції: не виконується жодна умова, тому основним є критерій Краскела–Уолліса. H = 513.59 &gt; H</w:t>
      </w:r>
      <w:r>
        <w:rPr>
          <w:vertAlign w:val="subscript"/>
        </w:rPr>
        <w:t xml:space="preserve">кр</w:t>
      </w:r>
      <w:r>
        <w:t xml:space="preserve"> = 19.68, тобто номер каналу значуще впливає на значення сигналу. Попарний критерій Уелча показує, що відрізняється більшість пар каналів (55 з 66); без значущої різниці залишились лише пари з близькими середніми, наприклад ch9–ch10 і ch10–ch11. Висновок F-критерію підтверджено методом, що підходить для таких даних.</w:t>
      </w:r>
    </w:p>
    <w:p>
      <w:pPr>
        <w:pStyle w:val="Heading1"/>
      </w:pPr>
      <w:r>
        <w:t xml:space="preserve">3. Двофакторний дисперсійний аналіз</w:t>
      </w:r>
    </w:p>
    <w:p>
      <w:pPr>
        <w:pStyle w:val="BodyText"/>
      </w:pPr>
      <w:r>
        <w:t xml:space="preserve">Фактор A — канал (k = 12 рівнів). Фактор B — частина запису (m = 5 рівнів): кожен канал розбито на 5 частин по n = 1000 значень. У кожній клітинці таблиці зберігається масив із 1000 значень; нижче наведено їхні середні x</w:t>
      </w:r>
      <w:r>
        <w:rPr>
          <w:vertAlign w:val="subscript"/>
        </w:rPr>
        <w:t xml:space="preserve">ij</w:t>
      </w:r>
      <w:r>
        <w:t xml:space="preserve">.</w:t>
      </w:r>
    </w:p>
    <w:p>
      <w:pPr>
        <w:pStyle w:val="BodyText"/>
        <w:keepNext/>
        <w:spacing w:before="160"/>
        <w:ind w:firstLine="0"/>
        <w:jc w:val="left"/>
      </w:pPr>
      <w:r>
        <w:t xml:space="preserve">Таблиця 6. Середні значення у клітинках двофакторного експерименту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B \ A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A10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A11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A12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B1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31.79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54.79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27.22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−44.21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−0.84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40.24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−3.33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48.38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76.94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74.62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74.17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54.73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B2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27.24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44.46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20.52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−37.09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0.54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31.80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−6.85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34.26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57.59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57.20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57.52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45.80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B3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22.09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41.05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22.32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−32.55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−1.91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30.97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−3.25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38.99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58.88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56.84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54.51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41.11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B4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30.99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51.75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26.90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−42.26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−1.34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38.13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−3.94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47.97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77.20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72.21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69.11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51.54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B5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26.27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42.85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19.42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−35.83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30.48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−6.95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35.23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58.14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55.86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55.57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44.17</w:t>
            </w:r>
          </w:p>
        </w:tc>
      </w:tr>
    </w:tbl>
    <w:p>
      <w:pPr>
        <w:pStyle w:val="CaptionedFigure"/>
        <w:keepNext/>
        <w:spacing w:before="160"/>
        <w:ind w:firstLine="0"/>
        <w:jc w:val="center"/>
      </w:pPr>
      <w:r>
        <w:drawing>
          <wp:inline>
            <wp:extent cx="5334000" cy="2955942"/>
            <wp:effectExtent b="0" l="0" r="0" t="0"/>
            <wp:docPr descr="Рис. 6. Середні значення у клітинках: лінія — рівень фактора B" title="" id="34" name="Picture"/>
            <a:graphic>
              <a:graphicData uri="http://schemas.openxmlformats.org/drawingml/2006/picture">
                <pic:pic>
                  <pic:nvPicPr>
                    <pic:cNvPr descr="img/cell29_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5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Середні значення у клітинках: лінія — рівень фактора B</w:t>
      </w:r>
    </w:p>
    <w:bookmarkStart w:id="36" w:name="фактори-незалежні"/>
    <w:p>
      <w:pPr>
        <w:pStyle w:val="Heading2"/>
      </w:pPr>
      <w:r>
        <w:t xml:space="preserve">3.1. Фактори незалежні</w:t>
      </w:r>
    </w:p>
    <w:p>
      <w:pPr>
        <w:pStyle w:val="FirstParagraph"/>
        <w:keepNext w:val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Sup>
                <m:e>
                  <m:r>
                    <m:t>X</m:t>
                  </m:r>
                </m:e>
                <m:sub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t>k</m:t>
              </m:r>
            </m:den>
          </m:f>
          <m:r>
            <m:rPr>
              <m:sty m:val="p"/>
            </m:rPr>
            <m:t>(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keepNext w:val="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Q</w:t>
      </w:r>
      <w:r>
        <w:rPr>
          <w:vertAlign w:val="subscript"/>
        </w:rPr>
        <w:t xml:space="preserve">1</w:t>
      </w:r>
      <w:r>
        <w:t xml:space="preserve"> = 113 464.44, Q</w:t>
      </w:r>
      <w:r>
        <w:rPr>
          <w:vertAlign w:val="subscript"/>
        </w:rPr>
        <w:t xml:space="preserve">2</w:t>
      </w:r>
      <w:r>
        <w:t xml:space="preserve"> = 111 621.59, Q</w:t>
      </w:r>
      <w:r>
        <w:rPr>
          <w:vertAlign w:val="subscript"/>
        </w:rPr>
        <w:t xml:space="preserve">3</w:t>
      </w:r>
      <w:r>
        <w:t xml:space="preserve"> = 57 416.55, Q</w:t>
      </w:r>
      <w:r>
        <w:rPr>
          <w:vertAlign w:val="subscript"/>
        </w:rPr>
        <w:t xml:space="preserve">4</w:t>
      </w:r>
      <w:r>
        <w:t xml:space="preserve"> = 56 460.13.</w:t>
      </w:r>
    </w:p>
    <w:p>
      <w:pPr>
        <w:pStyle w:val="BodyText"/>
        <w:keepNext/>
        <w:spacing w:before="160"/>
        <w:ind w:firstLine="0"/>
        <w:jc w:val="left"/>
      </w:pPr>
      <w:r>
        <w:t xml:space="preserve">Таблиця 7. Результати двофакторного аналізу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Фактор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Оцінка дисперсії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F = S² / S</w:t>
            </w:r>
            <w:r>
              <w:rPr>
                <w:rFonts w:ascii="Times New Roman" w:hAnsi="Times New Roman"/>
                <w:b/>
                <w:sz w:val="21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b/>
                <w:sz w:val="21"/>
              </w:rPr>
              <w:t xml:space="preserve">²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f</w:t>
            </w:r>
            <w:r>
              <w:rPr>
                <w:rFonts w:ascii="Times New Roman" w:hAnsi="Times New Roman"/>
                <w:b/>
                <w:sz w:val="21"/>
                <w:vertAlign w:val="subscript"/>
              </w:rPr>
              <w:t xml:space="preserve">1</w:t>
            </w:r>
            <w:r>
              <w:rPr>
                <w:rFonts w:ascii="Times New Roman" w:hAnsi="Times New Roman"/>
                <w:b/>
                <w:sz w:val="21"/>
              </w:rPr>
              <w:t xml:space="preserve">; f</w:t>
            </w:r>
            <w:r>
              <w:rPr>
                <w:rFonts w:ascii="Times New Roman" w:hAnsi="Times New Roman"/>
                <w:b/>
                <w:sz w:val="21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F</w:t>
            </w:r>
            <w:r>
              <w:rPr>
                <w:rFonts w:ascii="Times New Roman" w:hAnsi="Times New Roman"/>
                <w:b/>
                <w:sz w:val="21"/>
                <w:vertAlign w:val="subscript"/>
              </w:rPr>
              <w:t xml:space="preserve">крит</w:t>
            </w:r>
            <w:r>
              <w:rPr>
                <w:rFonts w:ascii="Times New Roman" w:hAnsi="Times New Roman"/>
                <w:b/>
                <w:sz w:val="21"/>
              </w:rPr>
              <w:t xml:space="preserve"> (α = 0.05)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Висновок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Залишкова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S</w:t>
            </w:r>
            <w:r>
              <w:rPr>
                <w:rFonts w:ascii="Times New Roman" w:hAnsi="Times New Roman"/>
                <w:sz w:val="21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1"/>
              </w:rPr>
              <w:t xml:space="preserve">² = 20.15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A (канал)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S</w:t>
            </w:r>
            <w:r>
              <w:rPr>
                <w:rFonts w:ascii="Times New Roman" w:hAnsi="Times New Roman"/>
                <w:sz w:val="21"/>
                <w:vertAlign w:val="subscript"/>
              </w:rPr>
              <w:t xml:space="preserve">A</w:t>
            </w:r>
            <w:r>
              <w:rPr>
                <w:rFonts w:ascii="Times New Roman" w:hAnsi="Times New Roman"/>
                <w:sz w:val="21"/>
              </w:rPr>
              <w:t xml:space="preserve">² = 5 014.68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248.91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11; 44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2.01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значущий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B (частина запису)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S</w:t>
            </w:r>
            <w:r>
              <w:rPr>
                <w:rFonts w:ascii="Times New Roman" w:hAnsi="Times New Roman"/>
                <w:sz w:val="21"/>
                <w:vertAlign w:val="subscript"/>
              </w:rPr>
              <w:t xml:space="preserve">B</w:t>
            </w:r>
            <w:r>
              <w:rPr>
                <w:rFonts w:ascii="Times New Roman" w:hAnsi="Times New Roman"/>
                <w:sz w:val="21"/>
              </w:rPr>
              <w:t xml:space="preserve">² = 239.10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11.87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4; 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2.58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значущий</w:t>
            </w:r>
          </w:p>
        </w:tc>
      </w:tr>
    </w:tbl>
    <w:p>
      <w:pPr>
        <w:pStyle w:val="BodyText"/>
        <w:spacing w:before="160"/>
      </w:pPr>
      <w:r>
        <w:t xml:space="preserve">Вплив фактора B видно на рис. 6: у частинах B1 і B4 середні за модулем більші практично в усіх каналах. Ймовірно, ці фрагменти містять більше піків.</w:t>
      </w:r>
    </w:p>
    <w:bookmarkEnd w:id="36"/>
    <w:bookmarkStart w:id="37" w:name="фактори-залежні-перевірка-взаємодії"/>
    <w:p>
      <w:pPr>
        <w:pStyle w:val="Heading2"/>
      </w:pPr>
      <w:r>
        <w:t xml:space="preserve">3.2. Фактори залежні (перевірка взаємодії)</w:t>
      </w:r>
    </w:p>
    <w:p>
      <w:pPr>
        <w:pStyle w:val="FirstParagraph"/>
        <w:keepNext w:val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ν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  <m:r>
                            <m:t>ν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</m:e>
          </m:nary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m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n</m:t>
              </m:r>
              <m:sSubSup>
                <m:e>
                  <m:r>
                    <m:t>S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&gt;</m:t>
          </m:r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  <w:keepNext/>
        <w:spacing w:before="160"/>
        <w:ind w:firstLine="0"/>
        <w:jc w:val="left"/>
      </w:pPr>
      <w:r>
        <w:t xml:space="preserve">Таблиця 8. Перевірка взаємодії факторів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Q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1 949 578 211.45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S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AB</w:t>
            </w:r>
            <w:r>
              <w:rPr>
                <w:rFonts w:ascii="Times New Roman" w:hAnsi="Times New Roman"/>
                <w:sz w:val="24"/>
              </w:rPr>
              <w:t xml:space="preserve">²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30 632.53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n·S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sz w:val="24"/>
              </w:rPr>
              <w:t xml:space="preserve">² / S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AB</w:t>
            </w:r>
            <w:r>
              <w:rPr>
                <w:rFonts w:ascii="Times New Roman" w:hAnsi="Times New Roman"/>
                <w:sz w:val="24"/>
              </w:rPr>
              <w:t xml:space="preserve">²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0.66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F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крит</w:t>
            </w:r>
            <w:r>
              <w:rPr>
                <w:rFonts w:ascii="Times New Roman" w:hAnsi="Times New Roman"/>
                <w:sz w:val="24"/>
              </w:rPr>
              <w:t xml:space="preserve">, f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1</w:t>
            </w:r>
            <w:r>
              <w:rPr>
                <w:rFonts w:ascii="Times New Roman" w:hAnsi="Times New Roman"/>
                <w:sz w:val="24"/>
              </w:rPr>
              <w:t xml:space="preserve"> = (k−1)(m−1) = 44, f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2</w:t>
            </w:r>
            <w:r>
              <w:rPr>
                <w:rFonts w:ascii="Times New Roman" w:hAnsi="Times New Roman"/>
                <w:sz w:val="24"/>
              </w:rPr>
              <w:t xml:space="preserve"> = mk(n−1) = 59 940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1.37</w:t>
            </w:r>
          </w:p>
        </w:tc>
      </w:tr>
    </w:tbl>
    <w:p>
      <w:pPr>
        <w:pStyle w:val="BodyText"/>
        <w:spacing w:before="160"/>
      </w:pPr>
      <w:r>
        <w:t xml:space="preserve">Оскільки 0.66 &lt; 1.37, взаємодія факторів A і B незначуща, тому можна користуватися моделлю з незалежними факторами (п. 3.1).</w:t>
      </w:r>
    </w:p>
    <w:bookmarkEnd w:id="37"/>
    <w:bookmarkEnd w:id="38"/>
    <w:bookmarkStart w:id="47" w:name="кореляційний-аналіз"/>
    <w:p>
      <w:pPr>
        <w:pStyle w:val="Heading1"/>
      </w:pPr>
      <w:r>
        <w:t xml:space="preserve">4. Кореляційний аналіз</w:t>
      </w:r>
    </w:p>
    <w:p>
      <w:pPr>
        <w:pStyle w:val="BodyText"/>
      </w:pPr>
      <w:r>
        <w:t xml:space="preserve">Параметри пронумеровано 0–11: параметр j відповідає каналу ch(j+1).</w:t>
      </w:r>
    </w:p>
    <w:bookmarkStart w:id="42" w:name="Xfdfd1bfbd240f488ac1ec694476cce600d154c8"/>
    <w:p>
      <w:pPr>
        <w:pStyle w:val="Heading2"/>
      </w:pPr>
      <w:r>
        <w:t xml:space="preserve">Кроки 1–2. Нормалізація та кореляційна матриця</w:t>
      </w:r>
    </w:p>
    <w:p>
      <w:pPr>
        <w:pStyle w:val="FirstParagraph"/>
        <w:keepNext w:val="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′</m:t>
              </m:r>
            </m:sup>
          </m:sSup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  <w:keepNext/>
        <w:spacing w:before="160"/>
        <w:ind w:firstLine="0"/>
        <w:jc w:val="left"/>
      </w:pPr>
      <w:r>
        <w:t xml:space="preserve">Таблиця 9. Кореляційна матриця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0.901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−0.990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0.406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0.955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−0.161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0.793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0.858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0.908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0.956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0.211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−0.005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0.887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0.929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0.901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−0.951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−0.013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0.152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0.939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0.953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−0.990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−0.951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−0.282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−0.986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0.065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−0.856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−0.907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−0.948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−0.982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−0.997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0.406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0.211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−0.013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−0.282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0.136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−0.637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−0.096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0.016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0.085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0.180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0.247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0.955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−0.986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0.136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0.054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0.913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0.944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−0.161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−0.005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0.152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0.065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−0.637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0.054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0.297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0.114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0.058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−0.008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−0.056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0.793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0.887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0.939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−0.856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−0.096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0.913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0.297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0.923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0.873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0.858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0.929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0.953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−0.907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0.016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0.944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0.114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0.908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−0.948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0.085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0.058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0.956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−0.982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0.180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−0.008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0.923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−0.997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0.247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−0.056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0.873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</w:tr>
    </w:tbl>
    <w:p>
      <w:pPr>
        <w:pStyle w:val="CaptionedFigure"/>
        <w:keepNext/>
        <w:spacing w:before="160"/>
        <w:ind w:firstLine="0"/>
        <w:jc w:val="center"/>
      </w:pPr>
      <w:r>
        <w:drawing>
          <wp:inline>
            <wp:extent cx="4679999" cy="4186912"/>
            <wp:effectExtent b="0" l="0" r="0" t="0"/>
            <wp:docPr descr="Рис. 7. Кореляційна матриця (червоний — додатна кореляція, синій — від’ємна)" title="" id="40" name="Picture"/>
            <a:graphic>
              <a:graphicData uri="http://schemas.openxmlformats.org/drawingml/2006/picture">
                <pic:pic>
                  <pic:nvPicPr>
                    <pic:cNvPr descr="img/cell32_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41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Кореляційна матриця (червоний — додатна кореляція, синій — від’ємна)</w:t>
      </w:r>
    </w:p>
    <w:bookmarkEnd w:id="42"/>
    <w:bookmarkStart w:id="43" w:name="крок-3.-вибір-групи-параметрів"/>
    <w:p>
      <w:pPr>
        <w:pStyle w:val="Heading2"/>
      </w:pPr>
      <w:r>
        <w:t xml:space="preserve">Крок 3. Вибір групи параметрів</w:t>
      </w:r>
    </w:p>
    <w:p>
      <w:pPr>
        <w:pStyle w:val="FirstParagraph"/>
      </w:pPr>
      <w:r>
        <w:t xml:space="preserve">Щоб не вибирати групу на око, перебрано всі трійки та четвірки параметрів і взято ту, у якій найменший |r| між параметрами найбільший:</w:t>
      </w:r>
    </w:p>
    <w:p>
      <w:pPr>
        <w:pStyle w:val="Compact"/>
        <w:numPr>
          <w:ilvl w:val="0"/>
          <w:numId w:val="1001"/>
        </w:numPr>
      </w:pPr>
      <w:r>
        <w:t xml:space="preserve">трійка: параметри 1, 3, 11, min|r| = 0.997;</w:t>
      </w:r>
    </w:p>
    <w:p>
      <w:pPr>
        <w:pStyle w:val="Compact"/>
        <w:numPr>
          <w:ilvl w:val="0"/>
          <w:numId w:val="1001"/>
        </w:numPr>
      </w:pPr>
      <w:r>
        <w:t xml:space="preserve">четвірка: параметри 1, 5, 10, 11, min|r| = 0.988.</w:t>
      </w:r>
    </w:p>
    <w:p>
      <w:pPr>
        <w:pStyle w:val="FirstParagraph"/>
      </w:pPr>
      <w:r>
        <w:t xml:space="preserve">За a взято параметр 1, бо він найсильніше пов’язаний з рештою, інші впорядковано за спаданням |r</w:t>
      </w:r>
      <w:r>
        <w:rPr>
          <w:vertAlign w:val="subscript"/>
        </w:rPr>
        <w:t xml:space="preserve">aj</w:t>
      </w:r>
      <w:r>
        <w:t xml:space="preserve">|: </w:t>
      </w:r>
      <w:r>
        <w:rPr>
          <w:b/>
          <w:bCs/>
        </w:rPr>
        <w:t xml:space="preserve">a = 1, b = 11, c = 5, d = 10</w:t>
      </w:r>
      <w:r>
        <w:t xml:space="preserve">. Відповідні парні коефіцієнти: r</w:t>
      </w:r>
      <w:r>
        <w:rPr>
          <w:vertAlign w:val="subscript"/>
        </w:rPr>
        <w:t xml:space="preserve">ab</w:t>
      </w:r>
      <w:r>
        <w:t xml:space="preserve"> = 0.9968, r</w:t>
      </w:r>
      <w:r>
        <w:rPr>
          <w:vertAlign w:val="subscript"/>
        </w:rPr>
        <w:t xml:space="preserve">ac</w:t>
      </w:r>
      <w:r>
        <w:t xml:space="preserve"> = 0.9965, r</w:t>
      </w:r>
      <w:r>
        <w:rPr>
          <w:vertAlign w:val="subscript"/>
        </w:rPr>
        <w:t xml:space="preserve">ad</w:t>
      </w:r>
      <w:r>
        <w:t xml:space="preserve"> = 0.9884, r</w:t>
      </w:r>
      <w:r>
        <w:rPr>
          <w:vertAlign w:val="subscript"/>
        </w:rPr>
        <w:t xml:space="preserve">bc</w:t>
      </w:r>
      <w:r>
        <w:t xml:space="preserve"> = 0.9899, r</w:t>
      </w:r>
      <w:r>
        <w:rPr>
          <w:vertAlign w:val="subscript"/>
        </w:rPr>
        <w:t xml:space="preserve">bd</w:t>
      </w:r>
      <w:r>
        <w:t xml:space="preserve"> = 0.9900, r</w:t>
      </w:r>
      <w:r>
        <w:rPr>
          <w:vertAlign w:val="subscript"/>
        </w:rPr>
        <w:t xml:space="preserve">cd</w:t>
      </w:r>
      <w:r>
        <w:t xml:space="preserve"> = 0.9882.</w:t>
      </w:r>
    </w:p>
    <w:bookmarkEnd w:id="43"/>
    <w:bookmarkStart w:id="44" w:name="кроки-45.-часткові-коефіцієнти-кореляції"/>
    <w:p>
      <w:pPr>
        <w:pStyle w:val="Heading2"/>
      </w:pPr>
      <w:r>
        <w:t xml:space="preserve">Кроки 4–5. Часткові коефіцієнти кореляції</w:t>
      </w:r>
    </w:p>
    <w:p>
      <w:pPr>
        <w:pStyle w:val="FirstParagraph"/>
      </w:pPr>
      <w:r>
        <w:t xml:space="preserve">Частковий коефіцієнт першого порядку обчислено за формулою з кроку 4. Коефіцієнти другого порядку рахуються за тією ж формулою через коефіцієнти першого порядку:</w:t>
      </w:r>
    </w:p>
    <w:p>
      <w:pPr>
        <w:pStyle w:val="BodyText"/>
        <w:keepNext w:val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d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rad>
            </m:den>
          </m:f>
        </m:oMath>
      </m:oMathPara>
    </w:p>
    <w:p>
      <w:pPr>
        <w:pStyle w:val="BodyText"/>
        <w:keepNext/>
        <w:spacing w:before="160"/>
        <w:ind w:firstLine="0"/>
        <w:jc w:val="left"/>
      </w:pPr>
      <w:r>
        <w:t xml:space="preserve">Таблиця 10. Часткові коефіцієнти кореляції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Коефіцієнт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Зміст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r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1,11(5)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 та b без впливу c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0.8765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r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1,5(11)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 та c без впливу b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0.8660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r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1,11(5,10)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 та b без впливу c і d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0.8969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r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1,5(11,10)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 та c без впливу b і d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0.8958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r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1,10(11,5)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 та d без впливу b і 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−0.4742</w:t>
            </w:r>
          </w:p>
        </w:tc>
      </w:tr>
    </w:tbl>
    <w:bookmarkEnd w:id="44"/>
    <w:bookmarkStart w:id="45" w:name="кроки-67.-множинні-коефіцієнти-кореляції"/>
    <w:p>
      <w:pPr>
        <w:pStyle w:val="Heading2"/>
      </w:pPr>
      <w:r>
        <w:t xml:space="preserve">Кроки 6–7. Множинні коефіцієнти кореляції</w:t>
      </w:r>
    </w:p>
    <w:p>
      <w:pPr>
        <w:pStyle w:val="FirstParagraph"/>
        <w:keepNext w:val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t>c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Sup>
            <m:e>
              <m:r>
                <m:t>R</m:t>
              </m:r>
            </m:e>
            <m:sub>
              <m:r>
                <m:t>a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c</m:t>
              </m:r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a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a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За формулою кроку 7 знайдено R², а з нього R, тому наведено обидва значення.</w:t>
      </w:r>
    </w:p>
    <w:p>
      <w:pPr>
        <w:pStyle w:val="Compact"/>
        <w:numPr>
          <w:ilvl w:val="0"/>
          <w:numId w:val="1002"/>
        </w:numPr>
      </w:pPr>
      <w:r>
        <w:t xml:space="preserve">r</w:t>
      </w:r>
      <w:r>
        <w:rPr>
          <w:vertAlign w:val="subscript"/>
        </w:rPr>
        <w:t xml:space="preserve">1/11,5</w:t>
      </w:r>
      <w:r>
        <w:t xml:space="preserve"> = </w:t>
      </w:r>
      <w:r>
        <w:rPr>
          <w:b/>
          <w:bCs/>
        </w:rPr>
        <w:t xml:space="preserve">0.9992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R²</w:t>
      </w:r>
      <w:r>
        <w:rPr>
          <w:vertAlign w:val="subscript"/>
        </w:rPr>
        <w:t xml:space="preserve">1/11,5,10</w:t>
      </w:r>
      <w:r>
        <w:t xml:space="preserve"> = 0.9988, R</w:t>
      </w:r>
      <w:r>
        <w:rPr>
          <w:vertAlign w:val="subscript"/>
        </w:rPr>
        <w:t xml:space="preserve">1/11,5,10</w:t>
      </w:r>
      <w:r>
        <w:t xml:space="preserve"> = </w:t>
      </w:r>
      <w:r>
        <w:rPr>
          <w:b/>
          <w:bCs/>
        </w:rPr>
        <w:t xml:space="preserve">0.9994</w:t>
      </w:r>
      <w:r>
        <w:t xml:space="preserve">.</w:t>
      </w:r>
    </w:p>
    <w:bookmarkEnd w:id="45"/>
    <w:bookmarkStart w:id="46" w:name="крок-8.-висновки-про-кореляцію"/>
    <w:p>
      <w:pPr>
        <w:pStyle w:val="Heading2"/>
      </w:pPr>
      <w:r>
        <w:t xml:space="preserve">Крок 8. Висновки про кореляцію</w:t>
      </w:r>
    </w:p>
    <w:p>
      <w:pPr>
        <w:pStyle w:val="Compact"/>
        <w:numPr>
          <w:ilvl w:val="0"/>
          <w:numId w:val="1003"/>
        </w:numPr>
      </w:pPr>
      <w:r>
        <w:t xml:space="preserve">Параметри 0, 1, 2, 3, 5, 7, 8, 9, 10, 11 утворюють одну тісно пов’язану групу, |r| у ній від 0.79 до 0.997. Параметр 3 корелює з усіма від’ємно: у каналі ch4 сигнал інвертований.</w:t>
      </w:r>
    </w:p>
    <w:p>
      <w:pPr>
        <w:pStyle w:val="Compact"/>
        <w:numPr>
          <w:ilvl w:val="0"/>
          <w:numId w:val="1003"/>
        </w:numPr>
      </w:pPr>
      <w:r>
        <w:t xml:space="preserve">Параметр a = 1 майже повністю визначається параметрами 11, 5, 10 (R = 0.9994). Якщо додати d = 10 до b і c, коефіцієнт майже не змінюється: 0.9992 → 0.9994.</w:t>
      </w:r>
    </w:p>
    <w:p>
      <w:pPr>
        <w:pStyle w:val="Compact"/>
        <w:numPr>
          <w:ilvl w:val="0"/>
          <w:numId w:val="1003"/>
        </w:numPr>
      </w:pPr>
      <w:r>
        <w:t xml:space="preserve">Часткові коефіцієнти (0.87–0.90) менші за парні (≈ 0.997), тобто частина зв’язку між параметрами пояснюється впливом інших. Між a і d при фіксованих b, c зв’язок помірний, і знак змінюється (r = −0.47).</w:t>
      </w:r>
    </w:p>
    <w:p>
      <w:pPr>
        <w:pStyle w:val="Compact"/>
        <w:numPr>
          <w:ilvl w:val="0"/>
          <w:numId w:val="1003"/>
        </w:numPr>
      </w:pPr>
      <w:r>
        <w:t xml:space="preserve">Незалежний параметр є: </w:t>
      </w:r>
      <w:r>
        <w:rPr>
          <w:b/>
          <w:bCs/>
        </w:rPr>
        <w:t xml:space="preserve">параметр 6 (ch7)</w:t>
      </w:r>
      <w:r>
        <w:t xml:space="preserve">, середній |r| з іншими 0.146. З усіма параметрами, крім 4, |r| ≤ 0.30. Помітно він корелює тільки з параметром 4 (ch5): r = −0.637, а параметр 4 теж слабко пов’язаний з основною групою (середній |r| = 0.210).</w:t>
      </w:r>
    </w:p>
    <w:bookmarkEnd w:id="46"/>
    <w:bookmarkEnd w:id="47"/>
    <w:bookmarkStart w:id="59" w:name="спектральний-аналіз-перетворення-фурє"/>
    <w:p>
      <w:pPr>
        <w:pStyle w:val="Heading1"/>
      </w:pPr>
      <w:r>
        <w:t xml:space="preserve">5. Спектральний аналіз (перетворення Фур’є)</w:t>
      </w:r>
    </w:p>
    <w:p>
      <w:pPr>
        <w:pStyle w:val="BodyText"/>
      </w:pPr>
      <w:r>
        <w:t xml:space="preserve">Пряме перетворення обчислено за формулами для 12 каналів і модуля сигналу (суми записано через матриці косинусів і синусів):</w:t>
      </w:r>
    </w:p>
    <w:p>
      <w:pPr>
        <w:pStyle w:val="BodyText"/>
        <w:keepNext w:val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π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keepNext w:val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i</m:t>
              </m:r>
              <m:r>
                <m:t>l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  <w:keepNext w:val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i</m:t>
              </m:r>
              <m:r>
                <m:t>j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A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BodyText"/>
      </w:pPr>
      <w:r>
        <w:rPr>
          <w:b/>
          <w:bCs/>
        </w:rPr>
        <w:t xml:space="preserve">Крок по частоті</w:t>
      </w:r>
      <w:r>
        <w:t xml:space="preserve"> (частота першої синусоїди): Δf = 1/N = 0.0002 відлік⁻¹, тобто період першої гармоніки дорівнює всій довжині запису. При FS = 500 Гц це Δf = FS/N = 0.1 Гц (період 10 с).</w:t>
      </w:r>
    </w:p>
    <w:p>
      <w:pPr>
        <w:pStyle w:val="CaptionedFigure"/>
        <w:keepNext/>
        <w:ind w:firstLine="0"/>
        <w:jc w:val="center"/>
      </w:pPr>
      <w:r>
        <w:drawing>
          <wp:inline>
            <wp:extent cx="5334000" cy="6106634"/>
            <wp:effectExtent b="0" l="0" r="0" t="0"/>
            <wp:docPr descr="Рис. 8. Амплітудні спектри Cj каналів у діапазоні 0–50 Гц (без постійної складової)" title="" id="49" name="Picture"/>
            <a:graphic>
              <a:graphicData uri="http://schemas.openxmlformats.org/drawingml/2006/picture">
                <pic:pic>
                  <pic:nvPicPr>
                    <pic:cNvPr descr="img/cell44_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6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Амплітудні спектри C</w:t>
      </w:r>
      <w:r>
        <w:rPr>
          <w:vertAlign w:val="subscript"/>
        </w:rPr>
        <w:t xml:space="preserve">j</w:t>
      </w:r>
      <w:r>
        <w:t xml:space="preserve"> каналів у діапазоні 0–50 Гц (без постійної складової)</w:t>
      </w:r>
    </w:p>
    <w:p>
      <w:pPr>
        <w:pStyle w:val="CaptionedFigure"/>
        <w:keepNext/>
        <w:ind w:firstLine="0"/>
        <w:jc w:val="center"/>
      </w:pPr>
      <w:r>
        <w:drawing>
          <wp:inline>
            <wp:extent cx="5334000" cy="3526017"/>
            <wp:effectExtent b="0" l="0" r="0" t="0"/>
            <wp:docPr descr="Рис. 9. Спектр модуля сигналу: перші 1000 гармонік (угорі) та перші 200 гармонік (унизу)" title="" id="52" name="Picture"/>
            <a:graphic>
              <a:graphicData uri="http://schemas.openxmlformats.org/drawingml/2006/picture">
                <pic:pic>
                  <pic:nvPicPr>
                    <pic:cNvPr descr="img/cell45_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Спектр модуля сигналу: перші 1000 гармонік (угорі) та перші 200 гармонік (унизу)</w:t>
      </w:r>
    </w:p>
    <w:bookmarkStart w:id="54" w:name="порівняння-спектрів"/>
    <w:p>
      <w:pPr>
        <w:pStyle w:val="Heading2"/>
      </w:pPr>
      <w:r>
        <w:t xml:space="preserve">5.1. Порівняння спектрів</w:t>
      </w:r>
    </w:p>
    <w:p>
      <w:pPr>
        <w:pStyle w:val="FirstParagraph"/>
        <w:keepNext/>
        <w:spacing w:before="160"/>
        <w:ind w:firstLine="0"/>
        <w:jc w:val="left"/>
      </w:pPr>
      <w:r>
        <w:t xml:space="preserve">Таблиця 11. Характеристики спектрів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Змінна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A</w:t>
            </w:r>
            <w:r>
              <w:rPr>
                <w:rFonts w:ascii="Times New Roman" w:hAnsi="Times New Roman"/>
                <w:b/>
                <w:sz w:val="21"/>
                <w:vertAlign w:val="subscript"/>
              </w:rPr>
              <w:t xml:space="preserve">0</w:t>
            </w:r>
            <w:r>
              <w:rPr>
                <w:rFonts w:ascii="Times New Roman" w:hAnsi="Times New Roman"/>
                <w:b/>
                <w:sz w:val="21"/>
              </w:rPr>
              <w:t xml:space="preserve"> (постійна складова)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Номер найбільшої гармоніки j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Частота, Гц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C</w:t>
            </w:r>
            <w:r>
              <w:rPr>
                <w:rFonts w:ascii="Times New Roman" w:hAnsi="Times New Roman"/>
                <w:b/>
                <w:sz w:val="21"/>
                <w:vertAlign w:val="subscript"/>
              </w:rPr>
              <w:t xml:space="preserve">max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 xml:space="preserve">95 % енергії до, Гц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27.68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8.4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49.79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25.1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46.98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8.4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92.21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23.1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ch3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23.28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51.55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21.8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−38.39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8.4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71.51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23.5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−0.60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8.80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35.4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34.32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71.24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22.0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−4.86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30.57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36.2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40.97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89.19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22.2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ch9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65.75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126.60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20.9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ch10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63.35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6.7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122.67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21.8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ch11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62.18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8.4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110.86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22.2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ch12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47.47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8.4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84.78</w:t>
            </w:r>
          </w:p>
        </w:tc>
        <w:tc>
          <w:tcPr/>
          <w:p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23.5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Модуль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244.50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1.7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263.63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 xml:space="preserve">21.8</w:t>
            </w:r>
          </w:p>
        </w:tc>
      </w:tr>
    </w:tbl>
    <w:p>
      <w:pPr>
        <w:pStyle w:val="BodyText"/>
        <w:spacing w:before="160"/>
      </w:pPr>
      <w:r>
        <w:t xml:space="preserve">Автокореляція модуля сигналу дає період повторення піків 298 відліків (0.596 с). Відповідно f</w:t>
      </w:r>
      <w:r>
        <w:rPr>
          <w:vertAlign w:val="subscript"/>
        </w:rPr>
        <w:t xml:space="preserve">0</w:t>
      </w:r>
      <w:r>
        <w:t xml:space="preserve"> = 1.678 Гц, гармоніка j ≈ N/298 ≈ 16.8; для ЕКГ це ≈ 101 уд/хв. Найбільші гармоніки каналів (j = 17, 67, 84) — це приблизно 1-ша, 4-та і 5-та гармоніки f</w:t>
      </w:r>
      <w:r>
        <w:rPr>
          <w:vertAlign w:val="subscript"/>
        </w:rPr>
        <w:t xml:space="preserve">0</w:t>
      </w:r>
      <w:r>
        <w:t xml:space="preserve">.</w:t>
      </w:r>
    </w:p>
    <w:p>
      <w:pPr>
        <w:pStyle w:val="BodyText"/>
      </w:pPr>
      <w:r>
        <w:t xml:space="preserve">Усі спектри мають однакову структуру: ряд піків на частотах, кратних f</w:t>
      </w:r>
      <w:r>
        <w:rPr>
          <w:vertAlign w:val="subscript"/>
        </w:rPr>
        <w:t xml:space="preserve">0</w:t>
      </w:r>
      <w:r>
        <w:t xml:space="preserve">, і амплітуда спадає з ростом частоти. 95 % енергії лежить нижче 21–36 Гц. Канали відрізняються амплітудами гармонік і постійною складовою, а положення гармонік однакове. У ch5 і ch7 амплітуди найменші, а спектр найширший (до 35–36 Гц), і саме ці канали слабо корелюють з іншими.</w:t>
      </w:r>
    </w:p>
    <w:bookmarkEnd w:id="54"/>
    <w:bookmarkStart w:id="58" w:name="обернене-перетворення"/>
    <w:p>
      <w:pPr>
        <w:pStyle w:val="Heading2"/>
      </w:pPr>
      <w:r>
        <w:t xml:space="preserve">5.2. Обернене перетворення</w:t>
      </w:r>
    </w:p>
    <w:p>
      <w:pPr>
        <w:pStyle w:val="FirstParagraph"/>
        <w:keepNext w:val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j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j</m:t>
              </m:r>
              <m:r>
                <m:t>i</m:t>
              </m:r>
            </m:num>
            <m:den>
              <m:r>
                <m:t>N</m:t>
              </m:r>
            </m:den>
          </m:f>
        </m:oMath>
      </m:oMathPara>
    </w:p>
    <w:p>
      <w:pPr>
        <w:pStyle w:val="CaptionedFigure"/>
        <w:keepNext/>
        <w:ind w:firstLine="0"/>
        <w:jc w:val="center"/>
      </w:pPr>
      <w:r>
        <w:drawing>
          <wp:inline>
            <wp:extent cx="5334000" cy="3079732"/>
            <wp:effectExtent b="0" l="0" r="0" t="0"/>
            <wp:docPr descr="Рис. 10. Початковий і відновлений канал ch1 (угорі) та похибка відновлення (унизу)" title="" id="56" name="Picture"/>
            <a:graphic>
              <a:graphicData uri="http://schemas.openxmlformats.org/drawingml/2006/picture">
                <pic:pic>
                  <pic:nvPicPr>
                    <pic:cNvPr descr="img/cell51_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Початковий і відновлений канал ch1 (угорі) та похибка відновлення (унизу)</w:t>
      </w:r>
    </w:p>
    <w:p>
      <w:pPr>
        <w:pStyle w:val="BodyText"/>
      </w:pPr>
      <w:r>
        <w:t xml:space="preserve">Порівняння початкового та відновленого масивів: максимальна похибка |s</w:t>
      </w:r>
      <w:r>
        <w:rPr>
          <w:vertAlign w:val="subscript"/>
        </w:rPr>
        <w:t xml:space="preserve">i</w:t>
      </w:r>
      <w:r>
        <w:t xml:space="preserve"> − d</w:t>
      </w:r>
      <w:r>
        <w:rPr>
          <w:vertAlign w:val="subscript"/>
        </w:rPr>
        <w:t xml:space="preserve">i</w:t>
      </w:r>
      <w:r>
        <w:t xml:space="preserve">| для каналів від 3.1·10⁻¹¹ (ch5) до 4.5·10⁻¹⁰ (ch9), для модуля сигналу 9.8·10⁻¹⁰. Це похибка округлення, тобто обернене перетворення відновлює початкові дані.</w:t>
      </w:r>
    </w:p>
    <w:bookmarkEnd w:id="58"/>
    <w:bookmarkEnd w:id="59"/>
    <w:bookmarkStart w:id="60" w:name="висновки"/>
    <w:p>
      <w:pPr>
        <w:pStyle w:val="Heading1"/>
      </w:pPr>
      <w:r>
        <w:t xml:space="preserve">Висновки</w:t>
      </w:r>
    </w:p>
    <w:p>
      <w:pPr>
        <w:pStyle w:val="FirstParagraph"/>
      </w:pPr>
      <w:r>
        <w:t xml:space="preserve">У роботі виконано попередній статистичний, дисперсійний, кореляційний і спектральний аналіз 12-канального запису </w:t>
      </w:r>
      <w:r>
        <w:rPr>
          <w:rStyle w:val="VerbatimChar"/>
        </w:rPr>
        <w:t xml:space="preserve">A38.txt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Попередній аналіз.</w:t>
      </w:r>
      <w:r>
        <w:t xml:space="preserve"> Сигнал квазіперіодичний, з гострими піками. Розподіли мають асиметрію до ±4.2 і ексцес до 17.5. Гіпотеза про нормальний закон відхиляється для всіх каналів і модуля сигналу. Дані нормалізовано до нульового середнього і одиничної дисперсії.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Однофакторний аналіз.</w:t>
      </w:r>
      <w:r>
        <w:t xml:space="preserve"> Дисперсії каналів неоднорідні за критеріями Кохрена, Бартлетта і Левене, розподіли не нормальні (Шапіро–Уілк), перетворення даних цього не виправляють. Вплив номера каналу значущий і за F-критерієм (F = 163.67 при F</w:t>
      </w:r>
      <w:r>
        <w:rPr>
          <w:vertAlign w:val="subscript"/>
        </w:rPr>
        <w:t xml:space="preserve">крит</w:t>
      </w:r>
      <w:r>
        <w:t xml:space="preserve"> = 1.79), і за непараметричним критерієм Краскела–Уолліса (H = 513.59 при H</w:t>
      </w:r>
      <w:r>
        <w:rPr>
          <w:vertAlign w:val="subscript"/>
        </w:rPr>
        <w:t xml:space="preserve">кр</w:t>
      </w:r>
      <w:r>
        <w:t xml:space="preserve"> = 19.68); за критерієм Уелча відрізняються 55 з 66 пар каналів.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Двофакторний аналіз.</w:t>
      </w:r>
      <w:r>
        <w:t xml:space="preserve"> Значущі фактор A — канал (F = 248.91 &gt; 2.01) — і фактор B — частина запису (F = 11.87 &gt; 2.58). Взаємодія факторів незначуща (0.66 &lt; 1.37).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Кореляційний аналіз.</w:t>
      </w:r>
      <w:r>
        <w:t xml:space="preserve"> 10 із 12 параметрів тісно корельовані. Для групи a = 1, b = 11, c = 5, d = 10 множинний коефіцієнт кореляції R = 0.9994. Параметр 6 (ch7) практично незалежний: середній |r| = 0.146, помітний зв’язок лише з параметром 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Спектральний аналіз.</w:t>
      </w:r>
      <w:r>
        <w:t xml:space="preserve"> Крок по частоті Δf = 1/N (0.1 Гц при 500 Гц). Спектри всіх каналів — це гармоніки основної частоти f</w:t>
      </w:r>
      <w:r>
        <w:rPr>
          <w:vertAlign w:val="subscript"/>
        </w:rPr>
        <w:t xml:space="preserve">0</w:t>
      </w:r>
      <w:r>
        <w:t xml:space="preserve"> ≈ 1.68 Гц, 95 % енергії лежить нижче 21–36 Гц. Обернене перетворення Фур’є відновлює початкові дані з похибкою не більше 10⁻⁹.</w:t>
      </w:r>
    </w:p>
    <w:bookmarkEnd w:id="60"/>
    <w:sectPr>
      <w:footnotePr>
        <w:numRestart w:val="eachSect"/>
      </w:footnotePr>
      <w:pgSz w:w="11906" w:h="16838"/>
      <w:pgMar w:left="1417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-U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0" w:before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0" w:before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hAnsi="Times New Roman" w:cs="Times New Roman" w:eastAsia="Times New Roman"/>
      <w:color w:val="000000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24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jc w:val="center"/>
      <w:outlineLvl w:val="0"/>
    </w:pPr>
    <w:rPr>
      <w:rFonts w:ascii="Times New Roman" w:hAnsi="Times New Roman" w:cs="Times New Roman" w:eastAsia="Times New Roman"/>
      <w:b/>
      <w:i w:val="0"/>
      <w:color w:val="000000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Times New Roman" w:hAnsi="Times New Roman" w:cs="Times New Roman" w:eastAsia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16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4"/>
    </w:rPr>
  </w:style>
  <w:style w:customStyle="1" w:styleId="Figure" w:type="paragraph">
    <w:name w:val="Figure"/>
    <w:basedOn w:val="Normal"/>
    <w:pPr>
      <w:spacing w:after="16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after="16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33" Type="http://schemas.openxmlformats.org/officeDocument/2006/relationships/image" Target="media/rId33.png"/><Relationship Id="rId39" Type="http://schemas.openxmlformats.org/officeDocument/2006/relationships/image" Target="media/rId39.png"/><Relationship Id="rId10" Type="http://schemas.openxmlformats.org/officeDocument/2006/relationships/image" Target="media/rId10.png"/><Relationship Id="rId48" Type="http://schemas.openxmlformats.org/officeDocument/2006/relationships/image" Target="media/rId48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55" Type="http://schemas.openxmlformats.org/officeDocument/2006/relationships/image" Target="media/rId55.png"/><Relationship Id="rId16" Type="http://schemas.openxmlformats.org/officeDocument/2006/relationships/image" Target="media/rId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практичної роботи №1 з дисципліни «Інтелектуальна обробка даних»</dc:title>
  <dc:creator/>
  <dc:language>uk-UA</dc:language>
  <cp:keywords/>
  <dcterms:created xsi:type="dcterms:W3CDTF">2026-10-22T18:33:06Z</dcterms:created>
  <dcterms:modified xsi:type="dcterms:W3CDTF">2026-10-22T18:33:06Z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