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0F6E6E"/>
          <w:sz w:val="64"/>
          <w:szCs w:val="64"/>
        </w:rPr>
        <w:t xml:space="preserve">SNAPDEVIS</w:t>
      </w:r>
    </w:p>
    <w:p>
      <w:pPr>
        <w:spacing w:after="100" w:before="200"/>
        <w:jc w:val="center"/>
      </w:pPr>
      <w:r>
        <w:rPr>
          <w:i/>
          <w:iCs/>
          <w:color w:val="0A4F4F"/>
          <w:sz w:val="26"/>
          <w:szCs w:val="26"/>
        </w:rPr>
        <w:t xml:space="preserve">De la photo au devis — l'agent IA pour les enseignes de bricolage</w:t>
      </w:r>
    </w:p>
    <w:p>
      <w:pPr>
        <w:spacing w:before="600"/>
        <w:jc w:val="center"/>
      </w:pPr>
      <w:r>
        <w:rPr>
          <w:color w:val="555555"/>
          <w:sz w:val="22"/>
          <w:szCs w:val="22"/>
        </w:rPr>
        <w:t xml:space="preserve">Cahier des charges — Phase 1 : Prototype de démonstration vendable</w:t>
      </w:r>
    </w:p>
    <w:p>
      <w:pPr>
        <w:spacing w:before="100"/>
        <w:jc w:val="center"/>
      </w:pPr>
      <w:r>
        <w:rPr>
          <w:color w:val="555555"/>
          <w:sz w:val="20"/>
          <w:szCs w:val="20"/>
        </w:rPr>
        <w:t xml:space="preserve">Harington Technologies — Consulting IA</w:t>
      </w:r>
    </w:p>
    <w:p>
      <w:pPr>
        <w:spacing w:before="100"/>
        <w:jc w:val="center"/>
      </w:pPr>
      <w:r>
        <w:rPr>
          <w:color w:val="555555"/>
          <w:sz w:val="20"/>
          <w:szCs w:val="20"/>
        </w:rPr>
        <w:t xml:space="preserve">Version 1.0 — Août 2026</w:t>
      </w:r>
    </w:p>
    <w:p>
      <w:r>
        <w:br w:type="page"/>
      </w:r>
    </w:p>
    <w:p>
      <w:pPr>
        <w:pStyle w:val="Heading1"/>
        <w:pBdr>
          <w:bottom w:val="single" w:color="0F6E6E" w:sz="12" w:space="4"/>
        </w:pBdr>
        <w:spacing w:after="200" w:before="400"/>
      </w:pPr>
      <w:r>
        <w:rPr>
          <w:b/>
          <w:bCs/>
          <w:color w:val="0A4F4F"/>
          <w:sz w:val="30"/>
          <w:szCs w:val="30"/>
        </w:rPr>
        <w:t xml:space="preserve">1. Contexte et opportunité</w:t>
      </w:r>
    </w:p>
    <w:p>
      <w:pPr>
        <w:spacing w:after="120"/>
      </w:pPr>
      <w:r>
        <w:rPr>
          <w:color w:val="222222"/>
          <w:sz w:val="21"/>
          <w:szCs w:val="21"/>
        </w:rPr>
        <w:t xml:space="preserve">Les grandes enseignes de bricolage (Leroy Merlin, Bricorama, Mr Bricolage, Castorama...) font face à un problème structurel : le client final ne sait souvent pas précisément ce dont il a besoin pour réaliser son projet. Il identifie un problème visible (un mur fissuré, un robinet qui fuit, une étagère à fixer) mais ignore la liste complète des produits et outils nécessaires pour le résoudre.</w:t>
      </w:r>
    </w:p>
    <w:p>
      <w:pPr>
        <w:spacing w:after="120"/>
      </w:pPr>
      <w:r>
        <w:rPr>
          <w:color w:val="222222"/>
          <w:sz w:val="21"/>
          <w:szCs w:val="21"/>
        </w:rPr>
        <w:t xml:space="preserve">Conséquences directes pour l'enseigne :</w:t>
      </w:r>
    </w:p>
    <w:p>
      <w:pPr>
        <w:pStyle w:val="ListParagraph"/>
        <w:numPr>
          <w:ilvl w:val="0"/>
          <w:numId w:val="2"/>
        </w:numPr>
        <w:spacing w:after="60"/>
      </w:pPr>
      <w:r>
        <w:rPr>
          <w:color w:val="222222"/>
          <w:sz w:val="21"/>
          <w:szCs w:val="21"/>
        </w:rPr>
        <w:t xml:space="preserve">Panier moyen réduit : le client n'achète que le produit principal, oublie les consommables associés (colle, vis, primaire, protection).</w:t>
      </w:r>
    </w:p>
    <w:p>
      <w:pPr>
        <w:pStyle w:val="ListParagraph"/>
        <w:numPr>
          <w:ilvl w:val="0"/>
          <w:numId w:val="2"/>
        </w:numPr>
        <w:spacing w:after="60"/>
      </w:pPr>
      <w:r>
        <w:rPr>
          <w:color w:val="222222"/>
          <w:sz w:val="21"/>
          <w:szCs w:val="21"/>
        </w:rPr>
        <w:t xml:space="preserve">Taux de retour élevé : mauvais produit acheté faute de diagnostic clair.</w:t>
      </w:r>
    </w:p>
    <w:p>
      <w:pPr>
        <w:pStyle w:val="ListParagraph"/>
        <w:numPr>
          <w:ilvl w:val="0"/>
          <w:numId w:val="2"/>
        </w:numPr>
        <w:spacing w:after="60"/>
      </w:pPr>
      <w:r>
        <w:rPr>
          <w:color w:val="222222"/>
          <w:sz w:val="21"/>
          <w:szCs w:val="21"/>
        </w:rPr>
        <w:t xml:space="preserve">Charge sur les vendeurs en rayon, qui ne peuvent pas conseiller chaque client individuellement.</w:t>
      </w:r>
    </w:p>
    <w:p>
      <w:pPr>
        <w:pStyle w:val="ListParagraph"/>
        <w:numPr>
          <w:ilvl w:val="0"/>
          <w:numId w:val="2"/>
        </w:numPr>
        <w:spacing w:after="60"/>
      </w:pPr>
      <w:r>
        <w:rPr>
          <w:color w:val="222222"/>
          <w:sz w:val="21"/>
          <w:szCs w:val="21"/>
        </w:rPr>
        <w:t xml:space="preserve">Abandon de projet ou achat chez un concurrent perçu comme plus accompagnant.</w:t>
      </w:r>
    </w:p>
    <w:p>
      <w:pPr>
        <w:spacing w:after="120"/>
      </w:pPr>
      <w:r>
        <w:rPr>
          <w:color w:val="222222"/>
          <w:sz w:val="21"/>
          <w:szCs w:val="21"/>
        </w:rPr>
        <w:t xml:space="preserve">SnapDevis propose de transformer ce point de friction en avantage concurrentiel : un agent IA capable d'analyser une photo envoyée par le client et de générer automatiquement un devis complet, basé sur le catalogue et les prix de l'enseigne.</w:t>
      </w:r>
    </w:p>
    <w:p>
      <w:pPr>
        <w:pStyle w:val="Heading1"/>
        <w:pBdr>
          <w:bottom w:val="single" w:color="0F6E6E" w:sz="12" w:space="4"/>
        </w:pBdr>
        <w:spacing w:after="200" w:before="400"/>
      </w:pPr>
      <w:r>
        <w:rPr>
          <w:b/>
          <w:bCs/>
          <w:color w:val="0A4F4F"/>
          <w:sz w:val="30"/>
          <w:szCs w:val="30"/>
        </w:rPr>
        <w:t xml:space="preserve">2. Objectifs du projet</w:t>
      </w:r>
    </w:p>
    <w:p>
      <w:pPr>
        <w:spacing w:after="60" w:before="160"/>
      </w:pPr>
      <w:r>
        <w:rPr>
          <w:b/>
          <w:bCs/>
          <w:color w:val="0A4F4F"/>
          <w:sz w:val="21"/>
          <w:szCs w:val="21"/>
        </w:rPr>
        <w:t xml:space="preserve">Objectif principal</w:t>
      </w:r>
    </w:p>
    <w:p>
      <w:pPr>
        <w:spacing w:after="120"/>
      </w:pPr>
      <w:r>
        <w:rPr>
          <w:color w:val="222222"/>
          <w:sz w:val="21"/>
          <w:szCs w:val="21"/>
        </w:rPr>
        <w:t xml:space="preserve">Livrer un prototype fonctionnel et démonstrable, suffisamment abouti pour servir de support de vente direct auprès des enseignes de bricolage, sans dépendre d'un accès préalable à leurs systèmes internes.</w:t>
      </w:r>
    </w:p>
    <w:p>
      <w:pPr>
        <w:spacing w:after="60" w:before="160"/>
      </w:pPr>
      <w:r>
        <w:rPr>
          <w:b/>
          <w:bCs/>
          <w:color w:val="0A4F4F"/>
          <w:sz w:val="21"/>
          <w:szCs w:val="21"/>
        </w:rPr>
        <w:t xml:space="preserve">Objectifs secondaires</w:t>
      </w:r>
    </w:p>
    <w:p>
      <w:pPr>
        <w:pStyle w:val="ListParagraph"/>
        <w:numPr>
          <w:ilvl w:val="0"/>
          <w:numId w:val="2"/>
        </w:numPr>
        <w:spacing w:after="60"/>
      </w:pPr>
      <w:r>
        <w:rPr>
          <w:color w:val="222222"/>
          <w:sz w:val="21"/>
          <w:szCs w:val="21"/>
        </w:rPr>
        <w:t xml:space="preserve">Valider techniquement la chaîne complète : photo → diagnostic → devis chiffré.</w:t>
      </w:r>
    </w:p>
    <w:p>
      <w:pPr>
        <w:pStyle w:val="ListParagraph"/>
        <w:numPr>
          <w:ilvl w:val="0"/>
          <w:numId w:val="2"/>
        </w:numPr>
        <w:spacing w:after="60"/>
      </w:pPr>
      <w:r>
        <w:rPr>
          <w:color w:val="222222"/>
          <w:sz w:val="21"/>
          <w:szCs w:val="21"/>
        </w:rPr>
        <w:t xml:space="preserve">Démontrer un impact business chiffrable (simulation d'augmentation du panier moyen).</w:t>
      </w:r>
    </w:p>
    <w:p>
      <w:pPr>
        <w:pStyle w:val="ListParagraph"/>
        <w:numPr>
          <w:ilvl w:val="0"/>
          <w:numId w:val="2"/>
        </w:numPr>
        <w:spacing w:after="60"/>
      </w:pPr>
      <w:r>
        <w:rPr>
          <w:color w:val="222222"/>
          <w:sz w:val="21"/>
          <w:szCs w:val="21"/>
        </w:rPr>
        <w:t xml:space="preserve">Proposer une identité visuelle distinctive, pour éviter l'écueil du "produit IA générique" et renforcer la crédibilité commerciale.</w:t>
      </w:r>
    </w:p>
    <w:p>
      <w:pPr>
        <w:pStyle w:val="ListParagraph"/>
        <w:numPr>
          <w:ilvl w:val="0"/>
          <w:numId w:val="2"/>
        </w:numPr>
        <w:spacing w:after="60"/>
      </w:pPr>
      <w:r>
        <w:rPr>
          <w:color w:val="222222"/>
          <w:sz w:val="21"/>
          <w:szCs w:val="21"/>
        </w:rPr>
        <w:t xml:space="preserve">Préparer le terrain pour une intégration marque blanche en phase 2, une fois un client pilote signé.</w:t>
      </w:r>
    </w:p>
    <w:p>
      <w:pPr>
        <w:pStyle w:val="Heading1"/>
        <w:pBdr>
          <w:bottom w:val="single" w:color="0F6E6E" w:sz="12" w:space="4"/>
        </w:pBdr>
        <w:spacing w:after="200" w:before="400"/>
      </w:pPr>
      <w:r>
        <w:rPr>
          <w:b/>
          <w:bCs/>
          <w:color w:val="0A4F4F"/>
          <w:sz w:val="30"/>
          <w:szCs w:val="30"/>
        </w:rPr>
        <w:t xml:space="preserve">3. Cible et proposition de valeur</w:t>
      </w:r>
    </w:p>
    <w:p>
      <w:pPr>
        <w:spacing w:after="60" w:before="160"/>
      </w:pPr>
      <w:r>
        <w:rPr>
          <w:b/>
          <w:bCs/>
          <w:color w:val="0A4F4F"/>
          <w:sz w:val="21"/>
          <w:szCs w:val="21"/>
        </w:rPr>
        <w:t xml:space="preserve">Cible commerciale</w:t>
      </w:r>
    </w:p>
    <w:p>
      <w:pPr>
        <w:spacing w:after="120"/>
      </w:pPr>
      <w:r>
        <w:rPr>
          <w:color w:val="222222"/>
          <w:sz w:val="21"/>
          <w:szCs w:val="21"/>
        </w:rPr>
        <w:t xml:space="preserve">Enseignes de bricolage et matériaux de construction à réseau physique et/ou e-commerce : Leroy Merlin, Bricorama, Mr Bricolage, Castorama, ainsi que des franchisés régionaux ou coopératives, plus accessibles pour un premier client pilote.</w:t>
      </w:r>
    </w:p>
    <w:p>
      <w:pPr>
        <w:spacing w:after="60" w:before="160"/>
      </w:pPr>
      <w:r>
        <w:rPr>
          <w:b/>
          <w:bCs/>
          <w:color w:val="0A4F4F"/>
          <w:sz w:val="21"/>
          <w:szCs w:val="21"/>
        </w:rPr>
        <w:t xml:space="preserve">Proposition de valeur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c>
          <w:tcPr>
            <w:tcW w:type="dxa" w:w="4500"/>
            <w:shd w:fill="0F6E6E" w:val="clear"/>
            <w:tcMar>
              <w:top w:type="dxa" w:w="80"/>
              <w:left w:type="dxa" w:w="100"/>
              <w:bottom w:type="dxa" w:w="80"/>
              <w:right w:type="dxa" w:w="100"/>
            </w:tcMar>
            <w:vAlign w:val="center"/>
          </w:tcPr>
          <w:p>
            <w:r>
              <w:rPr>
                <w:b/>
                <w:bCs/>
                <w:color w:val="FFFFFF"/>
                <w:sz w:val="20"/>
                <w:szCs w:val="20"/>
              </w:rPr>
              <w:t xml:space="preserve">Enjeu de l'enseigne</w:t>
            </w:r>
          </w:p>
        </w:tc>
        <w:tc>
          <w:tcPr>
            <w:tcW w:type="dxa" w:w="4900"/>
            <w:shd w:fill="0F6E6E" w:val="clear"/>
            <w:tcMar>
              <w:top w:type="dxa" w:w="80"/>
              <w:left w:type="dxa" w:w="100"/>
              <w:bottom w:type="dxa" w:w="80"/>
              <w:right w:type="dxa" w:w="100"/>
            </w:tcMar>
            <w:vAlign w:val="center"/>
          </w:tcPr>
          <w:p>
            <w:r>
              <w:rPr>
                <w:b/>
                <w:bCs/>
                <w:color w:val="FFFFFF"/>
                <w:sz w:val="20"/>
                <w:szCs w:val="20"/>
              </w:rPr>
              <w:t xml:space="preserve">Réponse SnapDevis</w:t>
            </w:r>
          </w:p>
        </w:tc>
      </w:tr>
      <w:tr>
        <w:tc>
          <w:tcPr>
            <w:tcW w:type="dxa" w:w="4500"/>
            <w:tcMar>
              <w:top w:type="dxa" w:w="80"/>
              <w:left w:type="dxa" w:w="100"/>
              <w:bottom w:type="dxa" w:w="80"/>
              <w:right w:type="dxa" w:w="100"/>
            </w:tcMar>
            <w:vAlign w:val="center"/>
          </w:tcPr>
          <w:p>
            <w:r>
              <w:rPr>
                <w:color w:val="222222"/>
                <w:sz w:val="20"/>
                <w:szCs w:val="20"/>
              </w:rPr>
              <w:t xml:space="preserve">Panier moyen bas</w:t>
            </w:r>
          </w:p>
        </w:tc>
        <w:tc>
          <w:tcPr>
            <w:tcW w:type="dxa" w:w="4900"/>
            <w:tcMar>
              <w:top w:type="dxa" w:w="80"/>
              <w:left w:type="dxa" w:w="100"/>
              <w:bottom w:type="dxa" w:w="80"/>
              <w:right w:type="dxa" w:w="100"/>
            </w:tcMar>
            <w:vAlign w:val="center"/>
          </w:tcPr>
          <w:p>
            <w:r>
              <w:rPr>
                <w:color w:val="222222"/>
                <w:sz w:val="20"/>
                <w:szCs w:val="20"/>
              </w:rPr>
              <w:t xml:space="preserve">Devis complet incluant les consommables oubliés par le client</w:t>
            </w:r>
          </w:p>
        </w:tc>
      </w:tr>
      <w:tr>
        <w:tc>
          <w:tcPr>
            <w:tcW w:type="dxa" w:w="4500"/>
            <w:tcMar>
              <w:top w:type="dxa" w:w="80"/>
              <w:left w:type="dxa" w:w="100"/>
              <w:bottom w:type="dxa" w:w="80"/>
              <w:right w:type="dxa" w:w="100"/>
            </w:tcMar>
            <w:vAlign w:val="center"/>
          </w:tcPr>
          <w:p>
            <w:r>
              <w:rPr>
                <w:color w:val="222222"/>
                <w:sz w:val="20"/>
                <w:szCs w:val="20"/>
              </w:rPr>
              <w:t xml:space="preserve">Taux de retour élevé</w:t>
            </w:r>
          </w:p>
        </w:tc>
        <w:tc>
          <w:tcPr>
            <w:tcW w:type="dxa" w:w="4900"/>
            <w:tcMar>
              <w:top w:type="dxa" w:w="80"/>
              <w:left w:type="dxa" w:w="100"/>
              <w:bottom w:type="dxa" w:w="80"/>
              <w:right w:type="dxa" w:w="100"/>
            </w:tcMar>
            <w:vAlign w:val="center"/>
          </w:tcPr>
          <w:p>
            <w:r>
              <w:rPr>
                <w:color w:val="222222"/>
                <w:sz w:val="20"/>
                <w:szCs w:val="20"/>
              </w:rPr>
              <w:t xml:space="preserve">Diagnostic précis en amont de l'achat</w:t>
            </w:r>
          </w:p>
        </w:tc>
      </w:tr>
      <w:tr>
        <w:tc>
          <w:tcPr>
            <w:tcW w:type="dxa" w:w="4500"/>
            <w:tcMar>
              <w:top w:type="dxa" w:w="80"/>
              <w:left w:type="dxa" w:w="100"/>
              <w:bottom w:type="dxa" w:w="80"/>
              <w:right w:type="dxa" w:w="100"/>
            </w:tcMar>
            <w:vAlign w:val="center"/>
          </w:tcPr>
          <w:p>
            <w:r>
              <w:rPr>
                <w:color w:val="222222"/>
                <w:sz w:val="20"/>
                <w:szCs w:val="20"/>
              </w:rPr>
              <w:t xml:space="preserve">Vendeurs surchargés</w:t>
            </w:r>
          </w:p>
        </w:tc>
        <w:tc>
          <w:tcPr>
            <w:tcW w:type="dxa" w:w="4900"/>
            <w:tcMar>
              <w:top w:type="dxa" w:w="80"/>
              <w:left w:type="dxa" w:w="100"/>
              <w:bottom w:type="dxa" w:w="80"/>
              <w:right w:type="dxa" w:w="100"/>
            </w:tcMar>
            <w:vAlign w:val="center"/>
          </w:tcPr>
          <w:p>
            <w:r>
              <w:rPr>
                <w:color w:val="222222"/>
                <w:sz w:val="20"/>
                <w:szCs w:val="20"/>
              </w:rPr>
              <w:t xml:space="preserve">Premier niveau de conseil automatisé, disponible 24/7</w:t>
            </w:r>
          </w:p>
        </w:tc>
      </w:tr>
      <w:tr>
        <w:tc>
          <w:tcPr>
            <w:tcW w:type="dxa" w:w="4500"/>
            <w:tcMar>
              <w:top w:type="dxa" w:w="80"/>
              <w:left w:type="dxa" w:w="100"/>
              <w:bottom w:type="dxa" w:w="80"/>
              <w:right w:type="dxa" w:w="100"/>
            </w:tcMar>
            <w:vAlign w:val="center"/>
          </w:tcPr>
          <w:p>
            <w:r>
              <w:rPr>
                <w:color w:val="222222"/>
                <w:sz w:val="20"/>
                <w:szCs w:val="20"/>
              </w:rPr>
              <w:t xml:space="preserve">Concurrence en ligne</w:t>
            </w:r>
          </w:p>
        </w:tc>
        <w:tc>
          <w:tcPr>
            <w:tcW w:type="dxa" w:w="4900"/>
            <w:tcMar>
              <w:top w:type="dxa" w:w="80"/>
              <w:left w:type="dxa" w:w="100"/>
              <w:bottom w:type="dxa" w:w="80"/>
              <w:right w:type="dxa" w:w="100"/>
            </w:tcMar>
            <w:vAlign w:val="center"/>
          </w:tcPr>
          <w:p>
            <w:r>
              <w:rPr>
                <w:color w:val="222222"/>
                <w:sz w:val="20"/>
                <w:szCs w:val="20"/>
              </w:rPr>
              <w:t xml:space="preserve">Expérience différenciante qui dédramatise le passage à l'achat</w:t>
            </w:r>
          </w:p>
        </w:tc>
      </w:tr>
      <w:tr>
        <w:tc>
          <w:tcPr>
            <w:tcW w:type="dxa" w:w="4500"/>
            <w:tcMar>
              <w:top w:type="dxa" w:w="80"/>
              <w:left w:type="dxa" w:w="100"/>
              <w:bottom w:type="dxa" w:w="80"/>
              <w:right w:type="dxa" w:w="100"/>
            </w:tcMar>
            <w:vAlign w:val="center"/>
          </w:tcPr>
          <w:p>
            <w:r>
              <w:rPr>
                <w:color w:val="222222"/>
                <w:sz w:val="20"/>
                <w:szCs w:val="20"/>
              </w:rPr>
              <w:t xml:space="preserve">Manque de données client</w:t>
            </w:r>
          </w:p>
        </w:tc>
        <w:tc>
          <w:tcPr>
            <w:tcW w:type="dxa" w:w="4900"/>
            <w:tcMar>
              <w:top w:type="dxa" w:w="80"/>
              <w:left w:type="dxa" w:w="100"/>
              <w:bottom w:type="dxa" w:w="80"/>
              <w:right w:type="dxa" w:w="100"/>
            </w:tcMar>
            <w:vAlign w:val="center"/>
          </w:tcPr>
          <w:p>
            <w:r>
              <w:rPr>
                <w:color w:val="222222"/>
                <w:sz w:val="20"/>
                <w:szCs w:val="20"/>
              </w:rPr>
              <w:t xml:space="preserve">Historique des projets, zones géographiques, tendances de rayon</w:t>
            </w:r>
          </w:p>
        </w:tc>
      </w:tr>
    </w:tbl>
    <w:p>
      <w:pPr>
        <w:pStyle w:val="Heading1"/>
        <w:pBdr>
          <w:bottom w:val="single" w:color="0F6E6E" w:sz="12" w:space="4"/>
        </w:pBdr>
        <w:spacing w:after="200" w:before="400"/>
      </w:pPr>
      <w:r>
        <w:rPr>
          <w:b/>
          <w:bCs/>
          <w:color w:val="0A4F4F"/>
          <w:sz w:val="30"/>
          <w:szCs w:val="30"/>
        </w:rPr>
        <w:t xml:space="preserve">4. Modèle économique envisagé</w:t>
      </w:r>
    </w:p>
    <w:p>
      <w:pPr>
        <w:spacing w:after="120"/>
      </w:pPr>
      <w:r>
        <w:rPr>
          <w:color w:val="222222"/>
          <w:sz w:val="21"/>
          <w:szCs w:val="21"/>
        </w:rPr>
        <w:t xml:space="preserve">Approche en deux temps, cohérente avec le cycle de vente long des grands comptes retail :</w:t>
      </w:r>
    </w:p>
    <w:p>
      <w:pPr>
        <w:spacing w:after="60" w:before="160"/>
      </w:pPr>
      <w:r>
        <w:rPr>
          <w:b/>
          <w:bCs/>
          <w:color w:val="0A4F4F"/>
          <w:sz w:val="21"/>
          <w:szCs w:val="21"/>
        </w:rPr>
        <w:t xml:space="preserve">Phase 1 (ce cahier des charges) — Prototype autonome</w:t>
      </w:r>
    </w:p>
    <w:p>
      <w:pPr>
        <w:pStyle w:val="ListParagraph"/>
        <w:numPr>
          <w:ilvl w:val="0"/>
          <w:numId w:val="2"/>
        </w:numPr>
        <w:spacing w:after="60"/>
      </w:pPr>
      <w:r>
        <w:rPr>
          <w:color w:val="222222"/>
          <w:sz w:val="21"/>
          <w:szCs w:val="21"/>
        </w:rPr>
        <w:t xml:space="preserve">Démo fonctionnelle avec un catalogue pilote (enseigne franchisée/régionale ou catalogue générique constitué pour la démonstration).</w:t>
      </w:r>
    </w:p>
    <w:p>
      <w:pPr>
        <w:pStyle w:val="ListParagraph"/>
        <w:numPr>
          <w:ilvl w:val="0"/>
          <w:numId w:val="2"/>
        </w:numPr>
        <w:spacing w:after="60"/>
      </w:pPr>
      <w:r>
        <w:rPr>
          <w:color w:val="222222"/>
          <w:sz w:val="21"/>
          <w:szCs w:val="21"/>
        </w:rPr>
        <w:t xml:space="preserve">Objectif : obtenir des métriques crédibles (précision du diagnostic, panier moyen simulé) pour argumenter commercialement.</w:t>
      </w:r>
    </w:p>
    <w:p>
      <w:pPr>
        <w:spacing w:after="60" w:before="160"/>
      </w:pPr>
      <w:r>
        <w:rPr>
          <w:b/>
          <w:bCs/>
          <w:color w:val="0A4F4F"/>
          <w:sz w:val="21"/>
          <w:szCs w:val="21"/>
        </w:rPr>
        <w:t xml:space="preserve">Phase 2 (hors périmètre de ce document) — Marque blanche</w:t>
      </w:r>
    </w:p>
    <w:p>
      <w:pPr>
        <w:pStyle w:val="ListParagraph"/>
        <w:numPr>
          <w:ilvl w:val="0"/>
          <w:numId w:val="2"/>
        </w:numPr>
        <w:spacing w:after="60"/>
      </w:pPr>
      <w:r>
        <w:rPr>
          <w:color w:val="222222"/>
          <w:sz w:val="21"/>
          <w:szCs w:val="21"/>
        </w:rPr>
        <w:t xml:space="preserve">Intégration au site/app de l'enseigne signataire, connexion à son catalogue produit et son moteur de prix réel.</w:t>
      </w:r>
    </w:p>
    <w:p>
      <w:pPr>
        <w:pStyle w:val="ListParagraph"/>
        <w:numPr>
          <w:ilvl w:val="0"/>
          <w:numId w:val="2"/>
        </w:numPr>
        <w:spacing w:after="60"/>
      </w:pPr>
      <w:r>
        <w:rPr>
          <w:color w:val="222222"/>
          <w:sz w:val="21"/>
          <w:szCs w:val="21"/>
        </w:rPr>
        <w:t xml:space="preserve">Contrat pluriannuel, modèle capitalisant sur l'expérience SG Connect IA (Saint-Gobain).</w:t>
      </w:r>
    </w:p>
    <w:p>
      <w:pPr>
        <w:pStyle w:val="Heading1"/>
        <w:pBdr>
          <w:bottom w:val="single" w:color="0F6E6E" w:sz="12" w:space="4"/>
        </w:pBdr>
        <w:spacing w:after="200" w:before="400"/>
      </w:pPr>
      <w:r>
        <w:rPr>
          <w:b/>
          <w:bCs/>
          <w:color w:val="0A4F4F"/>
          <w:sz w:val="30"/>
          <w:szCs w:val="30"/>
        </w:rPr>
        <w:t xml:space="preserve">5. Périmètre fonctionnel — Phase 1</w:t>
      </w:r>
    </w:p>
    <w:p>
      <w:pPr>
        <w:pStyle w:val="Heading2"/>
        <w:spacing w:after="120" w:before="300"/>
      </w:pPr>
      <w:r>
        <w:rPr>
          <w:b/>
          <w:bCs/>
          <w:color w:val="0A4F4F"/>
          <w:sz w:val="24"/>
          <w:szCs w:val="24"/>
        </w:rPr>
        <w:t xml:space="preserve">5.1 Parcours utilisateur cible</w:t>
      </w:r>
    </w:p>
    <w:p>
      <w:pPr>
        <w:pStyle w:val="ListParagraph"/>
        <w:numPr>
          <w:ilvl w:val="0"/>
          <w:numId w:val="2"/>
        </w:numPr>
        <w:spacing w:after="60"/>
      </w:pPr>
      <w:r>
        <w:rPr>
          <w:color w:val="222222"/>
          <w:sz w:val="21"/>
          <w:szCs w:val="21"/>
        </w:rPr>
        <w:t xml:space="preserve">1. Le client prend en photo l'objet ou la zone concernée par son projet (via mobile ou upload web).</w:t>
      </w:r>
    </w:p>
    <w:p>
      <w:pPr>
        <w:pStyle w:val="ListParagraph"/>
        <w:numPr>
          <w:ilvl w:val="0"/>
          <w:numId w:val="2"/>
        </w:numPr>
        <w:spacing w:after="60"/>
      </w:pPr>
      <w:r>
        <w:rPr>
          <w:color w:val="222222"/>
          <w:sz w:val="21"/>
          <w:szCs w:val="21"/>
        </w:rPr>
        <w:t xml:space="preserve">2. L'agent IA analyse l'image et pose, si nécessaire, une ou deux questions de clarification (ex : "mur intérieur ou extérieur ?").</w:t>
      </w:r>
    </w:p>
    <w:p>
      <w:pPr>
        <w:pStyle w:val="ListParagraph"/>
        <w:numPr>
          <w:ilvl w:val="0"/>
          <w:numId w:val="2"/>
        </w:numPr>
        <w:spacing w:after="60"/>
      </w:pPr>
      <w:r>
        <w:rPr>
          <w:color w:val="222222"/>
          <w:sz w:val="21"/>
          <w:szCs w:val="21"/>
        </w:rPr>
        <w:t xml:space="preserve">3. L'agent identifie le ou les besoins (diagnostic) : nature du problème, catégorie de produits, outils requis.</w:t>
      </w:r>
    </w:p>
    <w:p>
      <w:pPr>
        <w:pStyle w:val="ListParagraph"/>
        <w:numPr>
          <w:ilvl w:val="0"/>
          <w:numId w:val="2"/>
        </w:numPr>
        <w:spacing w:after="60"/>
      </w:pPr>
      <w:r>
        <w:rPr>
          <w:color w:val="222222"/>
          <w:sz w:val="21"/>
          <w:szCs w:val="21"/>
        </w:rPr>
        <w:t xml:space="preserve">4. L'agent génère un devis structuré : liste des produits avec quantités, prix unitaires, prix total, et une estimation du temps de réalisation.</w:t>
      </w:r>
    </w:p>
    <w:p>
      <w:pPr>
        <w:pStyle w:val="ListParagraph"/>
        <w:numPr>
          <w:ilvl w:val="0"/>
          <w:numId w:val="2"/>
        </w:numPr>
        <w:spacing w:after="60"/>
      </w:pPr>
      <w:r>
        <w:rPr>
          <w:color w:val="222222"/>
          <w:sz w:val="21"/>
          <w:szCs w:val="21"/>
        </w:rPr>
        <w:t xml:space="preserve">5. Le client peut ajuster les quantités, retirer un article, ou demander une alternative moins chère.</w:t>
      </w:r>
    </w:p>
    <w:p>
      <w:pPr>
        <w:pStyle w:val="ListParagraph"/>
        <w:numPr>
          <w:ilvl w:val="0"/>
          <w:numId w:val="2"/>
        </w:numPr>
        <w:spacing w:after="60"/>
      </w:pPr>
      <w:r>
        <w:rPr>
          <w:color w:val="222222"/>
          <w:sz w:val="21"/>
          <w:szCs w:val="21"/>
        </w:rPr>
        <w:t xml:space="preserve">6. Export du devis en PDF, et simulation d'ajout au panier (catalogue démo).</w:t>
      </w:r>
    </w:p>
    <w:p>
      <w:pPr>
        <w:pStyle w:val="Heading2"/>
        <w:spacing w:after="120" w:before="300"/>
      </w:pPr>
      <w:r>
        <w:rPr>
          <w:b/>
          <w:bCs/>
          <w:color w:val="0A4F4F"/>
          <w:sz w:val="24"/>
          <w:szCs w:val="24"/>
        </w:rPr>
        <w:t xml:space="preserve">5.2 Fonctionnalités clés (MVP)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000"/>
      </w:tblGrid>
      <w:tr>
        <w:tc>
          <w:tcPr>
            <w:tcW w:type="dxa" w:w="2600"/>
            <w:shd w:fill="0F6E6E" w:val="clear"/>
            <w:tcMar>
              <w:top w:type="dxa" w:w="80"/>
              <w:left w:type="dxa" w:w="100"/>
              <w:bottom w:type="dxa" w:w="80"/>
              <w:right w:type="dxa" w:w="100"/>
            </w:tcMar>
            <w:vAlign w:val="center"/>
          </w:tcPr>
          <w:p>
            <w:r>
              <w:rPr>
                <w:b/>
                <w:bCs/>
                <w:color w:val="FFFFFF"/>
                <w:sz w:val="20"/>
                <w:szCs w:val="20"/>
              </w:rPr>
              <w:t xml:space="preserve">Fonctionnalité</w:t>
            </w:r>
          </w:p>
        </w:tc>
        <w:tc>
          <w:tcPr>
            <w:tcW w:type="dxa" w:w="4800"/>
            <w:shd w:fill="0F6E6E" w:val="clear"/>
            <w:tcMar>
              <w:top w:type="dxa" w:w="80"/>
              <w:left w:type="dxa" w:w="100"/>
              <w:bottom w:type="dxa" w:w="80"/>
              <w:right w:type="dxa" w:w="100"/>
            </w:tcMar>
            <w:vAlign w:val="center"/>
          </w:tcPr>
          <w:p>
            <w:r>
              <w:rPr>
                <w:b/>
                <w:bCs/>
                <w:color w:val="FFFFFF"/>
                <w:sz w:val="20"/>
                <w:szCs w:val="20"/>
              </w:rPr>
              <w:t xml:space="preserve">Description</w:t>
            </w:r>
          </w:p>
        </w:tc>
        <w:tc>
          <w:tcPr>
            <w:tcW w:type="dxa" w:w="2000"/>
            <w:shd w:fill="0F6E6E" w:val="clear"/>
            <w:tcMar>
              <w:top w:type="dxa" w:w="80"/>
              <w:left w:type="dxa" w:w="100"/>
              <w:bottom w:type="dxa" w:w="80"/>
              <w:right w:type="dxa" w:w="100"/>
            </w:tcMar>
            <w:vAlign w:val="center"/>
          </w:tcPr>
          <w:p>
            <w:r>
              <w:rPr>
                <w:b/>
                <w:bCs/>
                <w:color w:val="FFFFFF"/>
                <w:sz w:val="20"/>
                <w:szCs w:val="20"/>
              </w:rPr>
              <w:t xml:space="preserve">Priorité</w:t>
            </w:r>
          </w:p>
        </w:tc>
      </w:tr>
      <w:tr>
        <w:tc>
          <w:tcPr>
            <w:tcW w:type="dxa" w:w="2600"/>
            <w:tcMar>
              <w:top w:type="dxa" w:w="80"/>
              <w:left w:type="dxa" w:w="100"/>
              <w:bottom w:type="dxa" w:w="80"/>
              <w:right w:type="dxa" w:w="100"/>
            </w:tcMar>
            <w:vAlign w:val="center"/>
          </w:tcPr>
          <w:p>
            <w:r>
              <w:rPr>
                <w:color w:val="222222"/>
                <w:sz w:val="20"/>
                <w:szCs w:val="20"/>
              </w:rPr>
              <w:t xml:space="preserve">Upload photo</w:t>
            </w:r>
          </w:p>
        </w:tc>
        <w:tc>
          <w:tcPr>
            <w:tcW w:type="dxa" w:w="4800"/>
            <w:tcMar>
              <w:top w:type="dxa" w:w="80"/>
              <w:left w:type="dxa" w:w="100"/>
              <w:bottom w:type="dxa" w:w="80"/>
              <w:right w:type="dxa" w:w="100"/>
            </w:tcMar>
            <w:vAlign w:val="center"/>
          </w:tcPr>
          <w:p>
            <w:r>
              <w:rPr>
                <w:color w:val="222222"/>
                <w:sz w:val="20"/>
                <w:szCs w:val="20"/>
              </w:rPr>
              <w:t xml:space="preserve">Prise de photo mobile ou upload web, formats jpg/png/heic</w:t>
            </w:r>
          </w:p>
        </w:tc>
        <w:tc>
          <w:tcPr>
            <w:tcW w:type="dxa" w:w="2000"/>
            <w:tcMar>
              <w:top w:type="dxa" w:w="80"/>
              <w:left w:type="dxa" w:w="100"/>
              <w:bottom w:type="dxa" w:w="80"/>
              <w:right w:type="dxa" w:w="100"/>
            </w:tcMar>
            <w:vAlign w:val="center"/>
          </w:tcPr>
          <w:p>
            <w:r>
              <w:rPr>
                <w:color w:val="222222"/>
                <w:sz w:val="20"/>
                <w:szCs w:val="20"/>
              </w:rPr>
              <w:t xml:space="preserve">Critique</w:t>
            </w:r>
          </w:p>
        </w:tc>
      </w:tr>
      <w:tr>
        <w:tc>
          <w:tcPr>
            <w:tcW w:type="dxa" w:w="2600"/>
            <w:tcMar>
              <w:top w:type="dxa" w:w="80"/>
              <w:left w:type="dxa" w:w="100"/>
              <w:bottom w:type="dxa" w:w="80"/>
              <w:right w:type="dxa" w:w="100"/>
            </w:tcMar>
            <w:vAlign w:val="center"/>
          </w:tcPr>
          <w:p>
            <w:r>
              <w:rPr>
                <w:color w:val="222222"/>
                <w:sz w:val="20"/>
                <w:szCs w:val="20"/>
              </w:rPr>
              <w:t xml:space="preserve">Diagnostic visuel IA</w:t>
            </w:r>
          </w:p>
        </w:tc>
        <w:tc>
          <w:tcPr>
            <w:tcW w:type="dxa" w:w="4800"/>
            <w:tcMar>
              <w:top w:type="dxa" w:w="80"/>
              <w:left w:type="dxa" w:w="100"/>
              <w:bottom w:type="dxa" w:w="80"/>
              <w:right w:type="dxa" w:w="100"/>
            </w:tcMar>
            <w:vAlign w:val="center"/>
          </w:tcPr>
          <w:p>
            <w:r>
              <w:rPr>
                <w:color w:val="222222"/>
                <w:sz w:val="20"/>
                <w:szCs w:val="20"/>
              </w:rPr>
              <w:t xml:space="preserve">Analyse de l'image + questions de clarification ciblées</w:t>
            </w:r>
          </w:p>
        </w:tc>
        <w:tc>
          <w:tcPr>
            <w:tcW w:type="dxa" w:w="2000"/>
            <w:tcMar>
              <w:top w:type="dxa" w:w="80"/>
              <w:left w:type="dxa" w:w="100"/>
              <w:bottom w:type="dxa" w:w="80"/>
              <w:right w:type="dxa" w:w="100"/>
            </w:tcMar>
            <w:vAlign w:val="center"/>
          </w:tcPr>
          <w:p>
            <w:r>
              <w:rPr>
                <w:color w:val="222222"/>
                <w:sz w:val="20"/>
                <w:szCs w:val="20"/>
              </w:rPr>
              <w:t xml:space="preserve">Critique</w:t>
            </w:r>
          </w:p>
        </w:tc>
      </w:tr>
      <w:tr>
        <w:tc>
          <w:tcPr>
            <w:tcW w:type="dxa" w:w="2600"/>
            <w:tcMar>
              <w:top w:type="dxa" w:w="80"/>
              <w:left w:type="dxa" w:w="100"/>
              <w:bottom w:type="dxa" w:w="80"/>
              <w:right w:type="dxa" w:w="100"/>
            </w:tcMar>
            <w:vAlign w:val="center"/>
          </w:tcPr>
          <w:p>
            <w:r>
              <w:rPr>
                <w:color w:val="222222"/>
                <w:sz w:val="20"/>
                <w:szCs w:val="20"/>
              </w:rPr>
              <w:t xml:space="preserve">Génération de devis</w:t>
            </w:r>
          </w:p>
        </w:tc>
        <w:tc>
          <w:tcPr>
            <w:tcW w:type="dxa" w:w="4800"/>
            <w:tcMar>
              <w:top w:type="dxa" w:w="80"/>
              <w:left w:type="dxa" w:w="100"/>
              <w:bottom w:type="dxa" w:w="80"/>
              <w:right w:type="dxa" w:w="100"/>
            </w:tcMar>
            <w:vAlign w:val="center"/>
          </w:tcPr>
          <w:p>
            <w:r>
              <w:rPr>
                <w:color w:val="222222"/>
                <w:sz w:val="20"/>
                <w:szCs w:val="20"/>
              </w:rPr>
              <w:t xml:space="preserve">Liste de produits chiffrée à partir d'un catalogue démo</w:t>
            </w:r>
          </w:p>
        </w:tc>
        <w:tc>
          <w:tcPr>
            <w:tcW w:type="dxa" w:w="2000"/>
            <w:tcMar>
              <w:top w:type="dxa" w:w="80"/>
              <w:left w:type="dxa" w:w="100"/>
              <w:bottom w:type="dxa" w:w="80"/>
              <w:right w:type="dxa" w:w="100"/>
            </w:tcMar>
            <w:vAlign w:val="center"/>
          </w:tcPr>
          <w:p>
            <w:r>
              <w:rPr>
                <w:color w:val="222222"/>
                <w:sz w:val="20"/>
                <w:szCs w:val="20"/>
              </w:rPr>
              <w:t xml:space="preserve">Critique</w:t>
            </w:r>
          </w:p>
        </w:tc>
      </w:tr>
      <w:tr>
        <w:tc>
          <w:tcPr>
            <w:tcW w:type="dxa" w:w="2600"/>
            <w:tcMar>
              <w:top w:type="dxa" w:w="80"/>
              <w:left w:type="dxa" w:w="100"/>
              <w:bottom w:type="dxa" w:w="80"/>
              <w:right w:type="dxa" w:w="100"/>
            </w:tcMar>
            <w:vAlign w:val="center"/>
          </w:tcPr>
          <w:p>
            <w:r>
              <w:rPr>
                <w:color w:val="222222"/>
                <w:sz w:val="20"/>
                <w:szCs w:val="20"/>
              </w:rPr>
              <w:t xml:space="preserve">Édition du devis</w:t>
            </w:r>
          </w:p>
        </w:tc>
        <w:tc>
          <w:tcPr>
            <w:tcW w:type="dxa" w:w="4800"/>
            <w:tcMar>
              <w:top w:type="dxa" w:w="80"/>
              <w:left w:type="dxa" w:w="100"/>
              <w:bottom w:type="dxa" w:w="80"/>
              <w:right w:type="dxa" w:w="100"/>
            </w:tcMar>
            <w:vAlign w:val="center"/>
          </w:tcPr>
          <w:p>
            <w:r>
              <w:rPr>
                <w:color w:val="222222"/>
                <w:sz w:val="20"/>
                <w:szCs w:val="20"/>
              </w:rPr>
              <w:t xml:space="preserve">Ajustement quantités, suppression, alternatives</w:t>
            </w:r>
          </w:p>
        </w:tc>
        <w:tc>
          <w:tcPr>
            <w:tcW w:type="dxa" w:w="2000"/>
            <w:tcMar>
              <w:top w:type="dxa" w:w="80"/>
              <w:left w:type="dxa" w:w="100"/>
              <w:bottom w:type="dxa" w:w="80"/>
              <w:right w:type="dxa" w:w="100"/>
            </w:tcMar>
            <w:vAlign w:val="center"/>
          </w:tcPr>
          <w:p>
            <w:r>
              <w:rPr>
                <w:color w:val="222222"/>
                <w:sz w:val="20"/>
                <w:szCs w:val="20"/>
              </w:rPr>
              <w:t xml:space="preserve">Haute</w:t>
            </w:r>
          </w:p>
        </w:tc>
      </w:tr>
      <w:tr>
        <w:tc>
          <w:tcPr>
            <w:tcW w:type="dxa" w:w="2600"/>
            <w:tcMar>
              <w:top w:type="dxa" w:w="80"/>
              <w:left w:type="dxa" w:w="100"/>
              <w:bottom w:type="dxa" w:w="80"/>
              <w:right w:type="dxa" w:w="100"/>
            </w:tcMar>
            <w:vAlign w:val="center"/>
          </w:tcPr>
          <w:p>
            <w:r>
              <w:rPr>
                <w:color w:val="222222"/>
                <w:sz w:val="20"/>
                <w:szCs w:val="20"/>
              </w:rPr>
              <w:t xml:space="preserve">Export PDF</w:t>
            </w:r>
          </w:p>
        </w:tc>
        <w:tc>
          <w:tcPr>
            <w:tcW w:type="dxa" w:w="4800"/>
            <w:tcMar>
              <w:top w:type="dxa" w:w="80"/>
              <w:left w:type="dxa" w:w="100"/>
              <w:bottom w:type="dxa" w:w="80"/>
              <w:right w:type="dxa" w:w="100"/>
            </w:tcMar>
            <w:vAlign w:val="center"/>
          </w:tcPr>
          <w:p>
            <w:r>
              <w:rPr>
                <w:color w:val="222222"/>
                <w:sz w:val="20"/>
                <w:szCs w:val="20"/>
              </w:rPr>
              <w:t xml:space="preserve">Devis exportable, mise en page aux couleurs de l'enseigne pilote</w:t>
            </w:r>
          </w:p>
        </w:tc>
        <w:tc>
          <w:tcPr>
            <w:tcW w:type="dxa" w:w="2000"/>
            <w:tcMar>
              <w:top w:type="dxa" w:w="80"/>
              <w:left w:type="dxa" w:w="100"/>
              <w:bottom w:type="dxa" w:w="80"/>
              <w:right w:type="dxa" w:w="100"/>
            </w:tcMar>
            <w:vAlign w:val="center"/>
          </w:tcPr>
          <w:p>
            <w:r>
              <w:rPr>
                <w:color w:val="222222"/>
                <w:sz w:val="20"/>
                <w:szCs w:val="20"/>
              </w:rPr>
              <w:t xml:space="preserve">Haute</w:t>
            </w:r>
          </w:p>
        </w:tc>
      </w:tr>
      <w:tr>
        <w:tc>
          <w:tcPr>
            <w:tcW w:type="dxa" w:w="2600"/>
            <w:tcMar>
              <w:top w:type="dxa" w:w="80"/>
              <w:left w:type="dxa" w:w="100"/>
              <w:bottom w:type="dxa" w:w="80"/>
              <w:right w:type="dxa" w:w="100"/>
            </w:tcMar>
            <w:vAlign w:val="center"/>
          </w:tcPr>
          <w:p>
            <w:r>
              <w:rPr>
                <w:color w:val="222222"/>
                <w:sz w:val="20"/>
                <w:szCs w:val="20"/>
              </w:rPr>
              <w:t xml:space="preserve">Catalogue démo</w:t>
            </w:r>
          </w:p>
        </w:tc>
        <w:tc>
          <w:tcPr>
            <w:tcW w:type="dxa" w:w="4800"/>
            <w:tcMar>
              <w:top w:type="dxa" w:w="80"/>
              <w:left w:type="dxa" w:w="100"/>
              <w:bottom w:type="dxa" w:w="80"/>
              <w:right w:type="dxa" w:w="100"/>
            </w:tcMar>
            <w:vAlign w:val="center"/>
          </w:tcPr>
          <w:p>
            <w:r>
              <w:rPr>
                <w:color w:val="222222"/>
                <w:sz w:val="20"/>
                <w:szCs w:val="20"/>
              </w:rPr>
              <w:t xml:space="preserve">Base produits + prix (3 à 5 catégories : peinture, plomberie, fixation, électricité, jardin)</w:t>
            </w:r>
          </w:p>
        </w:tc>
        <w:tc>
          <w:tcPr>
            <w:tcW w:type="dxa" w:w="2000"/>
            <w:tcMar>
              <w:top w:type="dxa" w:w="80"/>
              <w:left w:type="dxa" w:w="100"/>
              <w:bottom w:type="dxa" w:w="80"/>
              <w:right w:type="dxa" w:w="100"/>
            </w:tcMar>
            <w:vAlign w:val="center"/>
          </w:tcPr>
          <w:p>
            <w:r>
              <w:rPr>
                <w:color w:val="222222"/>
                <w:sz w:val="20"/>
                <w:szCs w:val="20"/>
              </w:rPr>
              <w:t xml:space="preserve">Critique</w:t>
            </w:r>
          </w:p>
        </w:tc>
      </w:tr>
      <w:tr>
        <w:tc>
          <w:tcPr>
            <w:tcW w:type="dxa" w:w="2600"/>
            <w:tcMar>
              <w:top w:type="dxa" w:w="80"/>
              <w:left w:type="dxa" w:w="100"/>
              <w:bottom w:type="dxa" w:w="80"/>
              <w:right w:type="dxa" w:w="100"/>
            </w:tcMar>
            <w:vAlign w:val="center"/>
          </w:tcPr>
          <w:p>
            <w:r>
              <w:rPr>
                <w:color w:val="222222"/>
                <w:sz w:val="20"/>
                <w:szCs w:val="20"/>
              </w:rPr>
              <w:t xml:space="preserve">Tableau de bord simulation</w:t>
            </w:r>
          </w:p>
        </w:tc>
        <w:tc>
          <w:tcPr>
            <w:tcW w:type="dxa" w:w="4800"/>
            <w:tcMar>
              <w:top w:type="dxa" w:w="80"/>
              <w:left w:type="dxa" w:w="100"/>
              <w:bottom w:type="dxa" w:w="80"/>
              <w:right w:type="dxa" w:w="100"/>
            </w:tcMar>
            <w:vAlign w:val="center"/>
          </w:tcPr>
          <w:p>
            <w:r>
              <w:rPr>
                <w:color w:val="222222"/>
                <w:sz w:val="20"/>
                <w:szCs w:val="20"/>
              </w:rPr>
              <w:t xml:space="preserve">Panier moyen avant/après, taux de complétude du devis</w:t>
            </w:r>
          </w:p>
        </w:tc>
        <w:tc>
          <w:tcPr>
            <w:tcW w:type="dxa" w:w="2000"/>
            <w:tcMar>
              <w:top w:type="dxa" w:w="80"/>
              <w:left w:type="dxa" w:w="100"/>
              <w:bottom w:type="dxa" w:w="80"/>
              <w:right w:type="dxa" w:w="100"/>
            </w:tcMar>
            <w:vAlign w:val="center"/>
          </w:tcPr>
          <w:p>
            <w:r>
              <w:rPr>
                <w:color w:val="222222"/>
                <w:sz w:val="20"/>
                <w:szCs w:val="20"/>
              </w:rPr>
              <w:t xml:space="preserve">Moyenne</w:t>
            </w:r>
          </w:p>
        </w:tc>
      </w:tr>
      <w:tr>
        <w:tc>
          <w:tcPr>
            <w:tcW w:type="dxa" w:w="2600"/>
            <w:tcMar>
              <w:top w:type="dxa" w:w="80"/>
              <w:left w:type="dxa" w:w="100"/>
              <w:bottom w:type="dxa" w:w="80"/>
              <w:right w:type="dxa" w:w="100"/>
            </w:tcMar>
            <w:vAlign w:val="center"/>
          </w:tcPr>
          <w:p>
            <w:r>
              <w:rPr>
                <w:color w:val="222222"/>
                <w:sz w:val="20"/>
                <w:szCs w:val="20"/>
              </w:rPr>
              <w:t xml:space="preserve">Historique de sessions</w:t>
            </w:r>
          </w:p>
        </w:tc>
        <w:tc>
          <w:tcPr>
            <w:tcW w:type="dxa" w:w="4800"/>
            <w:tcMar>
              <w:top w:type="dxa" w:w="80"/>
              <w:left w:type="dxa" w:w="100"/>
              <w:bottom w:type="dxa" w:w="80"/>
              <w:right w:type="dxa" w:w="100"/>
            </w:tcMar>
            <w:vAlign w:val="center"/>
          </w:tcPr>
          <w:p>
            <w:r>
              <w:rPr>
                <w:color w:val="222222"/>
                <w:sz w:val="20"/>
                <w:szCs w:val="20"/>
              </w:rPr>
              <w:t xml:space="preserve">Retrouver les devis générés précédemment</w:t>
            </w:r>
          </w:p>
        </w:tc>
        <w:tc>
          <w:tcPr>
            <w:tcW w:type="dxa" w:w="2000"/>
            <w:tcMar>
              <w:top w:type="dxa" w:w="80"/>
              <w:left w:type="dxa" w:w="100"/>
              <w:bottom w:type="dxa" w:w="80"/>
              <w:right w:type="dxa" w:w="100"/>
            </w:tcMar>
            <w:vAlign w:val="center"/>
          </w:tcPr>
          <w:p>
            <w:r>
              <w:rPr>
                <w:color w:val="222222"/>
                <w:sz w:val="20"/>
                <w:szCs w:val="20"/>
              </w:rPr>
              <w:t xml:space="preserve">Basse</w:t>
            </w:r>
          </w:p>
        </w:tc>
      </w:tr>
    </w:tbl>
    <w:p>
      <w:pPr>
        <w:pStyle w:val="Heading2"/>
        <w:spacing w:after="120" w:before="300"/>
      </w:pPr>
      <w:r>
        <w:rPr>
          <w:b/>
          <w:bCs/>
          <w:color w:val="0A4F4F"/>
          <w:sz w:val="24"/>
          <w:szCs w:val="24"/>
        </w:rPr>
        <w:t xml:space="preserve">5.3 Hors périmètre (Phase 1)</w:t>
      </w:r>
    </w:p>
    <w:p>
      <w:pPr>
        <w:pStyle w:val="ListParagraph"/>
        <w:numPr>
          <w:ilvl w:val="0"/>
          <w:numId w:val="2"/>
        </w:numPr>
        <w:spacing w:after="60"/>
      </w:pPr>
      <w:r>
        <w:rPr>
          <w:color w:val="222222"/>
          <w:sz w:val="21"/>
          <w:szCs w:val="21"/>
        </w:rPr>
        <w:t xml:space="preserve">Connexion à un vrai catalogue/stock d'une enseigne (nécessite partenariat data).</w:t>
      </w:r>
    </w:p>
    <w:p>
      <w:pPr>
        <w:pStyle w:val="ListParagraph"/>
        <w:numPr>
          <w:ilvl w:val="0"/>
          <w:numId w:val="2"/>
        </w:numPr>
        <w:spacing w:after="60"/>
      </w:pPr>
      <w:r>
        <w:rPr>
          <w:color w:val="222222"/>
          <w:sz w:val="21"/>
          <w:szCs w:val="21"/>
        </w:rPr>
        <w:t xml:space="preserve">Paiement en ligne réel / tunnel d'achat complet.</w:t>
      </w:r>
    </w:p>
    <w:p>
      <w:pPr>
        <w:pStyle w:val="ListParagraph"/>
        <w:numPr>
          <w:ilvl w:val="0"/>
          <w:numId w:val="2"/>
        </w:numPr>
        <w:spacing w:after="60"/>
      </w:pPr>
      <w:r>
        <w:rPr>
          <w:color w:val="222222"/>
          <w:sz w:val="21"/>
          <w:szCs w:val="21"/>
        </w:rPr>
        <w:t xml:space="preserve">Authentification multi-enseignes ou gestion de comptes clients enseigne.</w:t>
      </w:r>
    </w:p>
    <w:p>
      <w:pPr>
        <w:pStyle w:val="ListParagraph"/>
        <w:numPr>
          <w:ilvl w:val="0"/>
          <w:numId w:val="2"/>
        </w:numPr>
        <w:spacing w:after="60"/>
      </w:pPr>
      <w:r>
        <w:rPr>
          <w:color w:val="222222"/>
          <w:sz w:val="21"/>
          <w:szCs w:val="21"/>
        </w:rPr>
        <w:t xml:space="preserve">Application mobile native (le MVP reste web responsive).</w:t>
      </w:r>
    </w:p>
    <w:p>
      <w:pPr>
        <w:pStyle w:val="Heading1"/>
        <w:pBdr>
          <w:bottom w:val="single" w:color="0F6E6E" w:sz="12" w:space="4"/>
        </w:pBdr>
        <w:spacing w:after="200" w:before="400"/>
      </w:pPr>
      <w:r>
        <w:rPr>
          <w:b/>
          <w:bCs/>
          <w:color w:val="0A4F4F"/>
          <w:sz w:val="30"/>
          <w:szCs w:val="30"/>
        </w:rPr>
        <w:t xml:space="preserve">6. Identité visuelle et différenciation</w:t>
      </w:r>
    </w:p>
    <w:p>
      <w:pPr>
        <w:spacing w:after="120"/>
      </w:pPr>
      <w:r>
        <w:rPr>
          <w:color w:val="222222"/>
          <w:sz w:val="21"/>
          <w:szCs w:val="21"/>
        </w:rPr>
        <w:t xml:space="preserve">Point critique pour la vendabilité du prototype : l'outil ne doit pas ressembler à "un énième chatbot IA générique". L'enjeu commercial exige une identité visuelle propre, mémorable, pensée comme un produit fini plutôt qu'une démo technique.</w:t>
      </w:r>
    </w:p>
    <w:p>
      <w:pPr>
        <w:spacing w:after="60" w:before="160"/>
      </w:pPr>
      <w:r>
        <w:rPr>
          <w:b/>
          <w:bCs/>
          <w:color w:val="0A4F4F"/>
          <w:sz w:val="21"/>
          <w:szCs w:val="21"/>
        </w:rPr>
        <w:t xml:space="preserve">Principes directeurs</w:t>
      </w:r>
    </w:p>
    <w:p>
      <w:pPr>
        <w:pStyle w:val="ListParagraph"/>
        <w:numPr>
          <w:ilvl w:val="0"/>
          <w:numId w:val="2"/>
        </w:numPr>
        <w:spacing w:after="60"/>
      </w:pPr>
      <w:r>
        <w:rPr>
          <w:color w:val="222222"/>
          <w:sz w:val="21"/>
          <w:szCs w:val="21"/>
        </w:rPr>
        <w:t xml:space="preserve">Direction artistique distincte de l'identité Harington (design system dédié à SnapDevis, pensé comme marque autonome revendable).</w:t>
      </w:r>
    </w:p>
    <w:p>
      <w:pPr>
        <w:pStyle w:val="ListParagraph"/>
        <w:numPr>
          <w:ilvl w:val="0"/>
          <w:numId w:val="2"/>
        </w:numPr>
        <w:spacing w:after="60"/>
      </w:pPr>
      <w:r>
        <w:rPr>
          <w:color w:val="222222"/>
          <w:sz w:val="21"/>
          <w:szCs w:val="21"/>
        </w:rPr>
        <w:t xml:space="preserve">Univers visuel "atelier / bricolage premium" : tons chauds et matières (bois, métal brossé) combinés à un accent technologique net, pour éviter le double écueil "trop générique SaaS" et "trop artisanal daté".</w:t>
      </w:r>
    </w:p>
    <w:p>
      <w:pPr>
        <w:pStyle w:val="ListParagraph"/>
        <w:numPr>
          <w:ilvl w:val="0"/>
          <w:numId w:val="2"/>
        </w:numPr>
        <w:spacing w:after="60"/>
      </w:pPr>
      <w:r>
        <w:rPr>
          <w:color w:val="222222"/>
          <w:sz w:val="21"/>
          <w:szCs w:val="21"/>
        </w:rPr>
        <w:t xml:space="preserve">Micro-interactions soignées sur l'étape clé du parcours : la transformation photo → devis (effet de scan/analyse visible, pour rendre le "travail de l'IA" tangible à l'oeil du prospect pendant la démo commerciale).</w:t>
      </w:r>
    </w:p>
    <w:p>
      <w:pPr>
        <w:pStyle w:val="ListParagraph"/>
        <w:numPr>
          <w:ilvl w:val="0"/>
          <w:numId w:val="2"/>
        </w:numPr>
        <w:spacing w:after="60"/>
      </w:pPr>
      <w:r>
        <w:rPr>
          <w:color w:val="222222"/>
          <w:sz w:val="21"/>
          <w:szCs w:val="21"/>
        </w:rPr>
        <w:t xml:space="preserve">Mise en page du devis exporté pensée comme un livrable présentable à un client final, pas comme un ticket de caisse.</w:t>
      </w:r>
    </w:p>
    <w:p>
      <w:pPr>
        <w:spacing w:after="120"/>
      </w:pPr>
      <w:r>
        <w:rPr>
          <w:color w:val="222222"/>
          <w:sz w:val="21"/>
          <w:szCs w:val="21"/>
        </w:rPr>
        <w:t xml:space="preserve">Ce travail de design fera l'objet d'une exploration dédiée (moodboard + maquettes) avant l'implémentation, en s'appuyant sur le skill frontend-design pour garantir des choix intentionnels plutôt que des défauts de composants.</w:t>
      </w:r>
    </w:p>
    <w:p>
      <w:pPr>
        <w:pStyle w:val="Heading1"/>
        <w:pBdr>
          <w:bottom w:val="single" w:color="0F6E6E" w:sz="12" w:space="4"/>
        </w:pBdr>
        <w:spacing w:after="200" w:before="400"/>
      </w:pPr>
      <w:r>
        <w:rPr>
          <w:b/>
          <w:bCs/>
          <w:color w:val="0A4F4F"/>
          <w:sz w:val="30"/>
          <w:szCs w:val="30"/>
        </w:rPr>
        <w:t xml:space="preserve">7. Architecture technique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0F6E6E" w:val="clear"/>
            <w:tcMar>
              <w:top w:type="dxa" w:w="80"/>
              <w:left w:type="dxa" w:w="100"/>
              <w:bottom w:type="dxa" w:w="80"/>
              <w:right w:type="dxa" w:w="100"/>
            </w:tcMar>
            <w:vAlign w:val="center"/>
          </w:tcPr>
          <w:p>
            <w:r>
              <w:rPr>
                <w:b/>
                <w:bCs/>
                <w:color w:val="FFFFFF"/>
                <w:sz w:val="20"/>
                <w:szCs w:val="20"/>
              </w:rPr>
              <w:t xml:space="preserve">Couche</w:t>
            </w:r>
          </w:p>
        </w:tc>
        <w:tc>
          <w:tcPr>
            <w:tcW w:type="dxa" w:w="6400"/>
            <w:shd w:fill="0F6E6E" w:val="clear"/>
            <w:tcMar>
              <w:top w:type="dxa" w:w="80"/>
              <w:left w:type="dxa" w:w="100"/>
              <w:bottom w:type="dxa" w:w="80"/>
              <w:right w:type="dxa" w:w="100"/>
            </w:tcMar>
            <w:vAlign w:val="center"/>
          </w:tcPr>
          <w:p>
            <w:r>
              <w:rPr>
                <w:b/>
                <w:bCs/>
                <w:color w:val="FFFFFF"/>
                <w:sz w:val="20"/>
                <w:szCs w:val="20"/>
              </w:rPr>
              <w:t xml:space="preserve">Choix technique</w:t>
            </w:r>
          </w:p>
        </w:tc>
      </w:tr>
      <w:tr>
        <w:tc>
          <w:tcPr>
            <w:tcW w:type="dxa" w:w="3000"/>
            <w:tcMar>
              <w:top w:type="dxa" w:w="80"/>
              <w:left w:type="dxa" w:w="100"/>
              <w:bottom w:type="dxa" w:w="80"/>
              <w:right w:type="dxa" w:w="100"/>
            </w:tcMar>
            <w:vAlign w:val="center"/>
          </w:tcPr>
          <w:p>
            <w:r>
              <w:rPr>
                <w:color w:val="222222"/>
                <w:sz w:val="20"/>
                <w:szCs w:val="20"/>
              </w:rPr>
              <w:t xml:space="preserve">Frontend</w:t>
            </w:r>
          </w:p>
        </w:tc>
        <w:tc>
          <w:tcPr>
            <w:tcW w:type="dxa" w:w="6400"/>
            <w:tcMar>
              <w:top w:type="dxa" w:w="80"/>
              <w:left w:type="dxa" w:w="100"/>
              <w:bottom w:type="dxa" w:w="80"/>
              <w:right w:type="dxa" w:w="100"/>
            </w:tcMar>
            <w:vAlign w:val="center"/>
          </w:tcPr>
          <w:p>
            <w:r>
              <w:rPr>
                <w:color w:val="222222"/>
                <w:sz w:val="20"/>
                <w:szCs w:val="20"/>
              </w:rPr>
              <w:t xml:space="preserve">React 18 + TypeScript + Vite</w:t>
            </w:r>
          </w:p>
        </w:tc>
      </w:tr>
      <w:tr>
        <w:tc>
          <w:tcPr>
            <w:tcW w:type="dxa" w:w="3000"/>
            <w:tcMar>
              <w:top w:type="dxa" w:w="80"/>
              <w:left w:type="dxa" w:w="100"/>
              <w:bottom w:type="dxa" w:w="80"/>
              <w:right w:type="dxa" w:w="100"/>
            </w:tcMar>
            <w:vAlign w:val="center"/>
          </w:tcPr>
          <w:p>
            <w:r>
              <w:rPr>
                <w:color w:val="222222"/>
                <w:sz w:val="20"/>
                <w:szCs w:val="20"/>
              </w:rPr>
              <w:t xml:space="preserve">Backend</w:t>
            </w:r>
          </w:p>
        </w:tc>
        <w:tc>
          <w:tcPr>
            <w:tcW w:type="dxa" w:w="6400"/>
            <w:tcMar>
              <w:top w:type="dxa" w:w="80"/>
              <w:left w:type="dxa" w:w="100"/>
              <w:bottom w:type="dxa" w:w="80"/>
              <w:right w:type="dxa" w:w="100"/>
            </w:tcMar>
            <w:vAlign w:val="center"/>
          </w:tcPr>
          <w:p>
            <w:r>
              <w:rPr>
                <w:color w:val="222222"/>
                <w:sz w:val="20"/>
                <w:szCs w:val="20"/>
              </w:rPr>
              <w:t xml:space="preserve">FastAPI (Python 3.12)</w:t>
            </w:r>
          </w:p>
        </w:tc>
      </w:tr>
      <w:tr>
        <w:tc>
          <w:tcPr>
            <w:tcW w:type="dxa" w:w="3000"/>
            <w:tcMar>
              <w:top w:type="dxa" w:w="80"/>
              <w:left w:type="dxa" w:w="100"/>
              <w:bottom w:type="dxa" w:w="80"/>
              <w:right w:type="dxa" w:w="100"/>
            </w:tcMar>
            <w:vAlign w:val="center"/>
          </w:tcPr>
          <w:p>
            <w:r>
              <w:rPr>
                <w:color w:val="222222"/>
                <w:sz w:val="20"/>
                <w:szCs w:val="20"/>
              </w:rPr>
              <w:t xml:space="preserve">Base de données</w:t>
            </w:r>
          </w:p>
        </w:tc>
        <w:tc>
          <w:tcPr>
            <w:tcW w:type="dxa" w:w="6400"/>
            <w:tcMar>
              <w:top w:type="dxa" w:w="80"/>
              <w:left w:type="dxa" w:w="100"/>
              <w:bottom w:type="dxa" w:w="80"/>
              <w:right w:type="dxa" w:w="100"/>
            </w:tcMar>
            <w:vAlign w:val="center"/>
          </w:tcPr>
          <w:p>
            <w:r>
              <w:rPr>
                <w:color w:val="222222"/>
                <w:sz w:val="20"/>
                <w:szCs w:val="20"/>
              </w:rPr>
              <w:t xml:space="preserve">MongoDB (catalogue démo, sessions, devis générés)</w:t>
            </w:r>
          </w:p>
        </w:tc>
      </w:tr>
      <w:tr>
        <w:tc>
          <w:tcPr>
            <w:tcW w:type="dxa" w:w="3000"/>
            <w:tcMar>
              <w:top w:type="dxa" w:w="80"/>
              <w:left w:type="dxa" w:w="100"/>
              <w:bottom w:type="dxa" w:w="80"/>
              <w:right w:type="dxa" w:w="100"/>
            </w:tcMar>
            <w:vAlign w:val="center"/>
          </w:tcPr>
          <w:p>
            <w:r>
              <w:rPr>
                <w:color w:val="222222"/>
                <w:sz w:val="20"/>
                <w:szCs w:val="20"/>
              </w:rPr>
              <w:t xml:space="preserve">Modèle IA</w:t>
            </w:r>
          </w:p>
        </w:tc>
        <w:tc>
          <w:tcPr>
            <w:tcW w:type="dxa" w:w="6400"/>
            <w:tcMar>
              <w:top w:type="dxa" w:w="80"/>
              <w:left w:type="dxa" w:w="100"/>
              <w:bottom w:type="dxa" w:w="80"/>
              <w:right w:type="dxa" w:w="100"/>
            </w:tcMar>
            <w:vAlign w:val="center"/>
          </w:tcPr>
          <w:p>
            <w:r>
              <w:rPr>
                <w:color w:val="222222"/>
                <w:sz w:val="20"/>
                <w:szCs w:val="20"/>
              </w:rPr>
              <w:t xml:space="preserve">Claude API via OpenRouter (vision + raisonnement produit)</w:t>
            </w:r>
          </w:p>
        </w:tc>
      </w:tr>
      <w:tr>
        <w:tc>
          <w:tcPr>
            <w:tcW w:type="dxa" w:w="3000"/>
            <w:tcMar>
              <w:top w:type="dxa" w:w="80"/>
              <w:left w:type="dxa" w:w="100"/>
              <w:bottom w:type="dxa" w:w="80"/>
              <w:right w:type="dxa" w:w="100"/>
            </w:tcMar>
            <w:vAlign w:val="center"/>
          </w:tcPr>
          <w:p>
            <w:r>
              <w:rPr>
                <w:color w:val="222222"/>
                <w:sz w:val="20"/>
                <w:szCs w:val="20"/>
              </w:rPr>
              <w:t xml:space="preserve">Infrastructure</w:t>
            </w:r>
          </w:p>
        </w:tc>
        <w:tc>
          <w:tcPr>
            <w:tcW w:type="dxa" w:w="6400"/>
            <w:tcMar>
              <w:top w:type="dxa" w:w="80"/>
              <w:left w:type="dxa" w:w="100"/>
              <w:bottom w:type="dxa" w:w="80"/>
              <w:right w:type="dxa" w:w="100"/>
            </w:tcMar>
            <w:vAlign w:val="center"/>
          </w:tcPr>
          <w:p>
            <w:r>
              <w:rPr>
                <w:color w:val="222222"/>
                <w:sz w:val="20"/>
                <w:szCs w:val="20"/>
              </w:rPr>
              <w:t xml:space="preserve">Azure</w:t>
            </w:r>
          </w:p>
        </w:tc>
      </w:tr>
      <w:tr>
        <w:tc>
          <w:tcPr>
            <w:tcW w:type="dxa" w:w="3000"/>
            <w:tcMar>
              <w:top w:type="dxa" w:w="80"/>
              <w:left w:type="dxa" w:w="100"/>
              <w:bottom w:type="dxa" w:w="80"/>
              <w:right w:type="dxa" w:w="100"/>
            </w:tcMar>
            <w:vAlign w:val="center"/>
          </w:tcPr>
          <w:p>
            <w:r>
              <w:rPr>
                <w:color w:val="222222"/>
                <w:sz w:val="20"/>
                <w:szCs w:val="20"/>
              </w:rPr>
              <w:t xml:space="preserve">Export documents</w:t>
            </w:r>
          </w:p>
        </w:tc>
        <w:tc>
          <w:tcPr>
            <w:tcW w:type="dxa" w:w="6400"/>
            <w:tcMar>
              <w:top w:type="dxa" w:w="80"/>
              <w:left w:type="dxa" w:w="100"/>
              <w:bottom w:type="dxa" w:w="80"/>
              <w:right w:type="dxa" w:w="100"/>
            </w:tcMar>
            <w:vAlign w:val="center"/>
          </w:tcPr>
          <w:p>
            <w:r>
              <w:rPr>
                <w:color w:val="222222"/>
                <w:sz w:val="20"/>
                <w:szCs w:val="20"/>
              </w:rPr>
              <w:t xml:space="preserve">Génération PDF côté serveur (devis)</w:t>
            </w:r>
          </w:p>
        </w:tc>
      </w:tr>
    </w:tbl>
    <w:p>
      <w:pPr>
        <w:spacing w:after="120"/>
      </w:pPr>
      <w:r>
        <w:rPr>
          <w:color w:val="222222"/>
          <w:sz w:val="21"/>
          <w:szCs w:val="21"/>
        </w:rPr>
        <w:t xml:space="preserve">Le diagnostic visuel repose sur un enchaînement de deux appels au modèle : (1) analyse de l'image pour identifier la catégorie de problème/projet, (2) génération de la liste de produits nécessaires en croisant le diagnostic avec le catalogue démo structuré. Les questions de clarification sont posées uniquement quand la confiance du diagnostic est insuffisante, pour ne pas alourdir le parcours.</w:t>
      </w:r>
    </w:p>
    <w:p>
      <w:pPr>
        <w:pStyle w:val="Heading1"/>
        <w:pBdr>
          <w:bottom w:val="single" w:color="0F6E6E" w:sz="12" w:space="4"/>
        </w:pBdr>
        <w:spacing w:after="200" w:before="400"/>
      </w:pPr>
      <w:r>
        <w:rPr>
          <w:b/>
          <w:bCs/>
          <w:color w:val="0A4F4F"/>
          <w:sz w:val="30"/>
          <w:szCs w:val="30"/>
        </w:rPr>
        <w:t xml:space="preserve">8. Indicateurs de succès de la démo</w:t>
      </w:r>
    </w:p>
    <w:p>
      <w:pPr>
        <w:pStyle w:val="ListParagraph"/>
        <w:numPr>
          <w:ilvl w:val="0"/>
          <w:numId w:val="2"/>
        </w:numPr>
        <w:spacing w:after="60"/>
      </w:pPr>
      <w:r>
        <w:rPr>
          <w:color w:val="222222"/>
          <w:sz w:val="21"/>
          <w:szCs w:val="21"/>
        </w:rPr>
        <w:t xml:space="preserve">Taux de diagnostic correct sur un jeu de test de photos variées (objectif indicatif : &gt;80%).</w:t>
      </w:r>
    </w:p>
    <w:p>
      <w:pPr>
        <w:pStyle w:val="ListParagraph"/>
        <w:numPr>
          <w:ilvl w:val="0"/>
          <w:numId w:val="2"/>
        </w:numPr>
        <w:spacing w:after="60"/>
      </w:pPr>
      <w:r>
        <w:rPr>
          <w:color w:val="222222"/>
          <w:sz w:val="21"/>
          <w:szCs w:val="21"/>
        </w:rPr>
        <w:t xml:space="preserve">Panier moyen simulé avec SnapDevis vs panier "produit principal seul" (objectif : mettre en évidence un delta net et présentable).</w:t>
      </w:r>
    </w:p>
    <w:p>
      <w:pPr>
        <w:pStyle w:val="ListParagraph"/>
        <w:numPr>
          <w:ilvl w:val="0"/>
          <w:numId w:val="2"/>
        </w:numPr>
        <w:spacing w:after="60"/>
      </w:pPr>
      <w:r>
        <w:rPr>
          <w:color w:val="222222"/>
          <w:sz w:val="21"/>
          <w:szCs w:val="21"/>
        </w:rPr>
        <w:t xml:space="preserve">Temps moyen entre l'upload de la photo et le devis final (objectif : sous 30 secondes).</w:t>
      </w:r>
    </w:p>
    <w:p>
      <w:pPr>
        <w:pStyle w:val="ListParagraph"/>
        <w:numPr>
          <w:ilvl w:val="0"/>
          <w:numId w:val="2"/>
        </w:numPr>
        <w:spacing w:after="60"/>
      </w:pPr>
      <w:r>
        <w:rPr>
          <w:color w:val="222222"/>
          <w:sz w:val="21"/>
          <w:szCs w:val="21"/>
        </w:rPr>
        <w:t xml:space="preserve">Qualité perçue du devis exporté (test utilisateur informel avant présentation commerciale).</w:t>
      </w:r>
    </w:p>
    <w:p>
      <w:pPr>
        <w:pStyle w:val="Heading1"/>
        <w:pBdr>
          <w:bottom w:val="single" w:color="0F6E6E" w:sz="12" w:space="4"/>
        </w:pBdr>
        <w:spacing w:after="200" w:before="400"/>
      </w:pPr>
      <w:r>
        <w:rPr>
          <w:b/>
          <w:bCs/>
          <w:color w:val="0A4F4F"/>
          <w:sz w:val="30"/>
          <w:szCs w:val="30"/>
        </w:rPr>
        <w:t xml:space="preserve">9.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600"/>
      </w:tblGrid>
      <w:tr>
        <w:tc>
          <w:tcPr>
            <w:tcW w:type="dxa" w:w="1800"/>
            <w:shd w:fill="0F6E6E" w:val="clear"/>
            <w:tcMar>
              <w:top w:type="dxa" w:w="80"/>
              <w:left w:type="dxa" w:w="100"/>
              <w:bottom w:type="dxa" w:w="80"/>
              <w:right w:type="dxa" w:w="100"/>
            </w:tcMar>
            <w:vAlign w:val="center"/>
          </w:tcPr>
          <w:p>
            <w:r>
              <w:rPr>
                <w:b/>
                <w:bCs/>
                <w:color w:val="FFFFFF"/>
                <w:sz w:val="20"/>
                <w:szCs w:val="20"/>
              </w:rPr>
              <w:t xml:space="preserve">Étape</w:t>
            </w:r>
          </w:p>
        </w:tc>
        <w:tc>
          <w:tcPr>
            <w:tcW w:type="dxa" w:w="5000"/>
            <w:shd w:fill="0F6E6E" w:val="clear"/>
            <w:tcMar>
              <w:top w:type="dxa" w:w="80"/>
              <w:left w:type="dxa" w:w="100"/>
              <w:bottom w:type="dxa" w:w="80"/>
              <w:right w:type="dxa" w:w="100"/>
            </w:tcMar>
            <w:vAlign w:val="center"/>
          </w:tcPr>
          <w:p>
            <w:r>
              <w:rPr>
                <w:b/>
                <w:bCs/>
                <w:color w:val="FFFFFF"/>
                <w:sz w:val="20"/>
                <w:szCs w:val="20"/>
              </w:rPr>
              <w:t xml:space="preserve">Contenu</w:t>
            </w:r>
          </w:p>
        </w:tc>
        <w:tc>
          <w:tcPr>
            <w:tcW w:type="dxa" w:w="2600"/>
            <w:shd w:fill="0F6E6E" w:val="clear"/>
            <w:tcMar>
              <w:top w:type="dxa" w:w="80"/>
              <w:left w:type="dxa" w:w="100"/>
              <w:bottom w:type="dxa" w:w="80"/>
              <w:right w:type="dxa" w:w="100"/>
            </w:tcMar>
            <w:vAlign w:val="center"/>
          </w:tcPr>
          <w:p>
            <w:r>
              <w:rPr>
                <w:b/>
                <w:bCs/>
                <w:color w:val="FFFFFF"/>
                <w:sz w:val="20"/>
                <w:szCs w:val="20"/>
              </w:rPr>
              <w:t xml:space="preserve">Objectif</w:t>
            </w:r>
          </w:p>
        </w:tc>
      </w:tr>
      <w:tr>
        <w:tc>
          <w:tcPr>
            <w:tcW w:type="dxa" w:w="1800"/>
            <w:tcMar>
              <w:top w:type="dxa" w:w="80"/>
              <w:left w:type="dxa" w:w="100"/>
              <w:bottom w:type="dxa" w:w="80"/>
              <w:right w:type="dxa" w:w="100"/>
            </w:tcMar>
            <w:vAlign w:val="center"/>
          </w:tcPr>
          <w:p>
            <w:r>
              <w:rPr>
                <w:color w:val="222222"/>
                <w:sz w:val="20"/>
                <w:szCs w:val="20"/>
              </w:rPr>
              <w:t xml:space="preserve">Sprint 0</w:t>
            </w:r>
          </w:p>
        </w:tc>
        <w:tc>
          <w:tcPr>
            <w:tcW w:type="dxa" w:w="5000"/>
            <w:tcMar>
              <w:top w:type="dxa" w:w="80"/>
              <w:left w:type="dxa" w:w="100"/>
              <w:bottom w:type="dxa" w:w="80"/>
              <w:right w:type="dxa" w:w="100"/>
            </w:tcMar>
            <w:vAlign w:val="center"/>
          </w:tcPr>
          <w:p>
            <w:r>
              <w:rPr>
                <w:color w:val="222222"/>
                <w:sz w:val="20"/>
                <w:szCs w:val="20"/>
              </w:rPr>
              <w:t xml:space="preserve">Design system SnapDevis + maquettes clés (upload, résultat, devis)</w:t>
            </w:r>
          </w:p>
        </w:tc>
        <w:tc>
          <w:tcPr>
            <w:tcW w:type="dxa" w:w="2600"/>
            <w:tcMar>
              <w:top w:type="dxa" w:w="80"/>
              <w:left w:type="dxa" w:w="100"/>
              <w:bottom w:type="dxa" w:w="80"/>
              <w:right w:type="dxa" w:w="100"/>
            </w:tcMar>
            <w:vAlign w:val="center"/>
          </w:tcPr>
          <w:p>
            <w:r>
              <w:rPr>
                <w:color w:val="222222"/>
                <w:sz w:val="20"/>
                <w:szCs w:val="20"/>
              </w:rPr>
              <w:t xml:space="preserve">Valider la direction visuelle avant de coder</w:t>
            </w:r>
          </w:p>
        </w:tc>
      </w:tr>
      <w:tr>
        <w:tc>
          <w:tcPr>
            <w:tcW w:type="dxa" w:w="1800"/>
            <w:tcMar>
              <w:top w:type="dxa" w:w="80"/>
              <w:left w:type="dxa" w:w="100"/>
              <w:bottom w:type="dxa" w:w="80"/>
              <w:right w:type="dxa" w:w="100"/>
            </w:tcMar>
            <w:vAlign w:val="center"/>
          </w:tcPr>
          <w:p>
            <w:r>
              <w:rPr>
                <w:color w:val="222222"/>
                <w:sz w:val="20"/>
                <w:szCs w:val="20"/>
              </w:rPr>
              <w:t xml:space="preserve">Sprint 1</w:t>
            </w:r>
          </w:p>
        </w:tc>
        <w:tc>
          <w:tcPr>
            <w:tcW w:type="dxa" w:w="5000"/>
            <w:tcMar>
              <w:top w:type="dxa" w:w="80"/>
              <w:left w:type="dxa" w:w="100"/>
              <w:bottom w:type="dxa" w:w="80"/>
              <w:right w:type="dxa" w:w="100"/>
            </w:tcMar>
            <w:vAlign w:val="center"/>
          </w:tcPr>
          <w:p>
            <w:r>
              <w:rPr>
                <w:color w:val="222222"/>
                <w:sz w:val="20"/>
                <w:szCs w:val="20"/>
              </w:rPr>
              <w:t xml:space="preserve">Upload photo + diagnostic IA de base (1-2 catégories)</w:t>
            </w:r>
          </w:p>
        </w:tc>
        <w:tc>
          <w:tcPr>
            <w:tcW w:type="dxa" w:w="2600"/>
            <w:tcMar>
              <w:top w:type="dxa" w:w="80"/>
              <w:left w:type="dxa" w:w="100"/>
              <w:bottom w:type="dxa" w:w="80"/>
              <w:right w:type="dxa" w:w="100"/>
            </w:tcMar>
            <w:vAlign w:val="center"/>
          </w:tcPr>
          <w:p>
            <w:r>
              <w:rPr>
                <w:color w:val="222222"/>
                <w:sz w:val="20"/>
                <w:szCs w:val="20"/>
              </w:rPr>
              <w:t xml:space="preserve">Prouver la faisabilité technique</w:t>
            </w:r>
          </w:p>
        </w:tc>
      </w:tr>
      <w:tr>
        <w:tc>
          <w:tcPr>
            <w:tcW w:type="dxa" w:w="1800"/>
            <w:tcMar>
              <w:top w:type="dxa" w:w="80"/>
              <w:left w:type="dxa" w:w="100"/>
              <w:bottom w:type="dxa" w:w="80"/>
              <w:right w:type="dxa" w:w="100"/>
            </w:tcMar>
            <w:vAlign w:val="center"/>
          </w:tcPr>
          <w:p>
            <w:r>
              <w:rPr>
                <w:color w:val="222222"/>
                <w:sz w:val="20"/>
                <w:szCs w:val="20"/>
              </w:rPr>
              <w:t xml:space="preserve">Sprint 2</w:t>
            </w:r>
          </w:p>
        </w:tc>
        <w:tc>
          <w:tcPr>
            <w:tcW w:type="dxa" w:w="5000"/>
            <w:tcMar>
              <w:top w:type="dxa" w:w="80"/>
              <w:left w:type="dxa" w:w="100"/>
              <w:bottom w:type="dxa" w:w="80"/>
              <w:right w:type="dxa" w:w="100"/>
            </w:tcMar>
            <w:vAlign w:val="center"/>
          </w:tcPr>
          <w:p>
            <w:r>
              <w:rPr>
                <w:color w:val="222222"/>
                <w:sz w:val="20"/>
                <w:szCs w:val="20"/>
              </w:rPr>
              <w:t xml:space="preserve">Catalogue démo + génération de devis chiffré</w:t>
            </w:r>
          </w:p>
        </w:tc>
        <w:tc>
          <w:tcPr>
            <w:tcW w:type="dxa" w:w="2600"/>
            <w:tcMar>
              <w:top w:type="dxa" w:w="80"/>
              <w:left w:type="dxa" w:w="100"/>
              <w:bottom w:type="dxa" w:w="80"/>
              <w:right w:type="dxa" w:w="100"/>
            </w:tcMar>
            <w:vAlign w:val="center"/>
          </w:tcPr>
          <w:p>
            <w:r>
              <w:rPr>
                <w:color w:val="222222"/>
                <w:sz w:val="20"/>
                <w:szCs w:val="20"/>
              </w:rPr>
              <w:t xml:space="preserve">Boucle complète photo → devis</w:t>
            </w:r>
          </w:p>
        </w:tc>
      </w:tr>
      <w:tr>
        <w:tc>
          <w:tcPr>
            <w:tcW w:type="dxa" w:w="1800"/>
            <w:tcMar>
              <w:top w:type="dxa" w:w="80"/>
              <w:left w:type="dxa" w:w="100"/>
              <w:bottom w:type="dxa" w:w="80"/>
              <w:right w:type="dxa" w:w="100"/>
            </w:tcMar>
            <w:vAlign w:val="center"/>
          </w:tcPr>
          <w:p>
            <w:r>
              <w:rPr>
                <w:color w:val="222222"/>
                <w:sz w:val="20"/>
                <w:szCs w:val="20"/>
              </w:rPr>
              <w:t xml:space="preserve">Sprint 3</w:t>
            </w:r>
          </w:p>
        </w:tc>
        <w:tc>
          <w:tcPr>
            <w:tcW w:type="dxa" w:w="5000"/>
            <w:tcMar>
              <w:top w:type="dxa" w:w="80"/>
              <w:left w:type="dxa" w:w="100"/>
              <w:bottom w:type="dxa" w:w="80"/>
              <w:right w:type="dxa" w:w="100"/>
            </w:tcMar>
            <w:vAlign w:val="center"/>
          </w:tcPr>
          <w:p>
            <w:r>
              <w:rPr>
                <w:color w:val="222222"/>
                <w:sz w:val="20"/>
                <w:szCs w:val="20"/>
              </w:rPr>
              <w:t xml:space="preserve">Édition du devis + export PDF stylé</w:t>
            </w:r>
          </w:p>
        </w:tc>
        <w:tc>
          <w:tcPr>
            <w:tcW w:type="dxa" w:w="2600"/>
            <w:tcMar>
              <w:top w:type="dxa" w:w="80"/>
              <w:left w:type="dxa" w:w="100"/>
              <w:bottom w:type="dxa" w:w="80"/>
              <w:right w:type="dxa" w:w="100"/>
            </w:tcMar>
            <w:vAlign w:val="center"/>
          </w:tcPr>
          <w:p>
            <w:r>
              <w:rPr>
                <w:color w:val="222222"/>
                <w:sz w:val="20"/>
                <w:szCs w:val="20"/>
              </w:rPr>
              <w:t xml:space="preserve">Livrable présentable en rendez-vous commercial</w:t>
            </w:r>
          </w:p>
        </w:tc>
      </w:tr>
      <w:tr>
        <w:tc>
          <w:tcPr>
            <w:tcW w:type="dxa" w:w="1800"/>
            <w:tcMar>
              <w:top w:type="dxa" w:w="80"/>
              <w:left w:type="dxa" w:w="100"/>
              <w:bottom w:type="dxa" w:w="80"/>
              <w:right w:type="dxa" w:w="100"/>
            </w:tcMar>
            <w:vAlign w:val="center"/>
          </w:tcPr>
          <w:p>
            <w:r>
              <w:rPr>
                <w:color w:val="222222"/>
                <w:sz w:val="20"/>
                <w:szCs w:val="20"/>
              </w:rPr>
              <w:t xml:space="preserve">Sprint 4</w:t>
            </w:r>
          </w:p>
        </w:tc>
        <w:tc>
          <w:tcPr>
            <w:tcW w:type="dxa" w:w="5000"/>
            <w:tcMar>
              <w:top w:type="dxa" w:w="80"/>
              <w:left w:type="dxa" w:w="100"/>
              <w:bottom w:type="dxa" w:w="80"/>
              <w:right w:type="dxa" w:w="100"/>
            </w:tcMar>
            <w:vAlign w:val="center"/>
          </w:tcPr>
          <w:p>
            <w:r>
              <w:rPr>
                <w:color w:val="222222"/>
                <w:sz w:val="20"/>
                <w:szCs w:val="20"/>
              </w:rPr>
              <w:t xml:space="preserve">Tableau de bord simulation panier moyen + polish visuel</w:t>
            </w:r>
          </w:p>
        </w:tc>
        <w:tc>
          <w:tcPr>
            <w:tcW w:type="dxa" w:w="2600"/>
            <w:tcMar>
              <w:top w:type="dxa" w:w="80"/>
              <w:left w:type="dxa" w:w="100"/>
              <w:bottom w:type="dxa" w:w="80"/>
              <w:right w:type="dxa" w:w="100"/>
            </w:tcMar>
            <w:vAlign w:val="center"/>
          </w:tcPr>
          <w:p>
            <w:r>
              <w:rPr>
                <w:color w:val="222222"/>
                <w:sz w:val="20"/>
                <w:szCs w:val="20"/>
              </w:rPr>
              <w:t xml:space="preserve">Argumentaire chiffré pour la vente</w:t>
            </w:r>
          </w:p>
        </w:tc>
      </w:tr>
    </w:tbl>
    <w:p>
      <w:pPr>
        <w:pStyle w:val="Heading1"/>
        <w:pBdr>
          <w:bottom w:val="single" w:color="0F6E6E" w:sz="12" w:space="4"/>
        </w:pBdr>
        <w:spacing w:after="200" w:before="400"/>
      </w:pPr>
      <w:r>
        <w:rPr>
          <w:b/>
          <w:bCs/>
          <w:color w:val="0A4F4F"/>
          <w:sz w:val="30"/>
          <w:szCs w:val="30"/>
        </w:rPr>
        <w:t xml:space="preserve">10. Risques et points d'attention</w:t>
      </w:r>
    </w:p>
    <w:p>
      <w:pPr>
        <w:pStyle w:val="ListParagraph"/>
        <w:numPr>
          <w:ilvl w:val="0"/>
          <w:numId w:val="2"/>
        </w:numPr>
        <w:spacing w:after="60"/>
      </w:pPr>
      <w:r>
        <w:rPr>
          <w:color w:val="222222"/>
          <w:sz w:val="21"/>
          <w:szCs w:val="21"/>
        </w:rPr>
        <w:t xml:space="preserve">Fiabilité du diagnostic visuel sur des cas ambigus : prévoir systématiquement une option de clarification manuelle plutôt qu'un devis erroné silencieux.</w:t>
      </w:r>
    </w:p>
    <w:p>
      <w:pPr>
        <w:pStyle w:val="ListParagraph"/>
        <w:numPr>
          <w:ilvl w:val="0"/>
          <w:numId w:val="2"/>
        </w:numPr>
        <w:spacing w:after="60"/>
      </w:pPr>
      <w:r>
        <w:rPr>
          <w:color w:val="222222"/>
          <w:sz w:val="21"/>
          <w:szCs w:val="21"/>
        </w:rPr>
        <w:t xml:space="preserve">Catalogue démo trop artificiel : le rendre suffisamment réaliste (prix, références) pour ne pas décrédibiliser la démo face à un acheteur du secteur.</w:t>
      </w:r>
    </w:p>
    <w:p>
      <w:pPr>
        <w:pStyle w:val="ListParagraph"/>
        <w:numPr>
          <w:ilvl w:val="0"/>
          <w:numId w:val="2"/>
        </w:numPr>
        <w:spacing w:after="60"/>
      </w:pPr>
      <w:r>
        <w:rPr>
          <w:color w:val="222222"/>
          <w:sz w:val="21"/>
          <w:szCs w:val="21"/>
        </w:rPr>
        <w:t xml:space="preserve">Confusion possible avec DevisPro IA (BTP professionnels) : bien positionner SnapDevis comme produit distinct, destiné au grand public via les enseignes, dans toute communication commerciale.</w:t>
      </w:r>
    </w:p>
    <w:p>
      <w:pPr>
        <w:pStyle w:val="ListParagraph"/>
        <w:numPr>
          <w:ilvl w:val="0"/>
          <w:numId w:val="2"/>
        </w:numPr>
        <w:spacing w:after="60"/>
      </w:pPr>
      <w:r>
        <w:rPr>
          <w:color w:val="222222"/>
          <w:sz w:val="21"/>
          <w:szCs w:val="21"/>
        </w:rPr>
        <w:t xml:space="preserve">Dépendance à l'API du modèle IA : prévoir un mode dégradé (message d'attente, retry) pour la démo live en rendez-vous.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SnapDevis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2026-08-04T11:53:32.616Z</dcterms:created>
  <dcterms:modified xsi:type="dcterms:W3CDTF">2026-08-04T11:53:32.630Z</dcterms:modified>
</cp:coreProperties>
</file>

<file path=docProps/custom.xml><?xml version="1.0" encoding="utf-8"?>
<Properties xmlns="http://schemas.openxmlformats.org/officeDocument/2006/custom-properties" xmlns:vt="http://schemas.openxmlformats.org/officeDocument/2006/docPropsVTypes"/>
</file>