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8624" w14:textId="77777777" w:rsidR="0048595C" w:rsidRDefault="0048595C" w:rsidP="0048595C">
      <w:pPr>
        <w:jc w:val="center"/>
        <w:rPr>
          <w:sz w:val="24"/>
          <w:szCs w:val="24"/>
        </w:rPr>
      </w:pPr>
      <w:r>
        <w:rPr>
          <w:sz w:val="24"/>
          <w:szCs w:val="24"/>
        </w:rPr>
        <w:t>ВОПРОСЫ К БИЛЕТАМ ПО ИСТОРИИ ЗАПАДНОЕВРОПЕЙСКОЙ И РУССКОЙ КУЛЬТУРЫ</w:t>
      </w:r>
    </w:p>
    <w:p w14:paraId="7352D670" w14:textId="638D4F7C" w:rsidR="0048595C" w:rsidRDefault="0048595C" w:rsidP="0048595C">
      <w:pPr>
        <w:jc w:val="center"/>
        <w:rPr>
          <w:sz w:val="24"/>
          <w:szCs w:val="24"/>
        </w:rPr>
      </w:pPr>
      <w:r>
        <w:rPr>
          <w:sz w:val="24"/>
          <w:szCs w:val="24"/>
        </w:rPr>
        <w:t>1 семестр 202</w:t>
      </w:r>
      <w:r w:rsidR="00EA46B5">
        <w:rPr>
          <w:sz w:val="24"/>
          <w:szCs w:val="24"/>
        </w:rPr>
        <w:t>2</w:t>
      </w:r>
      <w:r>
        <w:rPr>
          <w:sz w:val="24"/>
          <w:szCs w:val="24"/>
        </w:rPr>
        <w:t>/2</w:t>
      </w:r>
      <w:r w:rsidR="00EA46B5">
        <w:rPr>
          <w:sz w:val="24"/>
          <w:szCs w:val="24"/>
        </w:rPr>
        <w:t>3</w:t>
      </w:r>
      <w:r>
        <w:rPr>
          <w:sz w:val="24"/>
          <w:szCs w:val="24"/>
        </w:rPr>
        <w:t xml:space="preserve"> уч. год.</w:t>
      </w:r>
    </w:p>
    <w:p w14:paraId="4BF96BD7" w14:textId="77777777" w:rsidR="00F13F9D" w:rsidRPr="004C35B6" w:rsidRDefault="00F13F9D" w:rsidP="002F2CBD">
      <w:pPr>
        <w:pStyle w:val="a3"/>
        <w:numPr>
          <w:ilvl w:val="0"/>
          <w:numId w:val="1"/>
        </w:numPr>
        <w:jc w:val="both"/>
        <w:rPr>
          <w:color w:val="C45911" w:themeColor="accent2" w:themeShade="BF"/>
          <w:sz w:val="24"/>
          <w:szCs w:val="24"/>
        </w:rPr>
      </w:pPr>
      <w:r w:rsidRPr="004C35B6">
        <w:rPr>
          <w:color w:val="C45911" w:themeColor="accent2" w:themeShade="BF"/>
          <w:sz w:val="24"/>
          <w:szCs w:val="24"/>
        </w:rPr>
        <w:t>Общая характеристика культуры античности (хронологи</w:t>
      </w:r>
      <w:r w:rsidR="002F2CBD" w:rsidRPr="004C35B6">
        <w:rPr>
          <w:color w:val="C45911" w:themeColor="accent2" w:themeShade="BF"/>
          <w:sz w:val="24"/>
          <w:szCs w:val="24"/>
        </w:rPr>
        <w:t>я, периодизация, ареал, мировоз</w:t>
      </w:r>
      <w:r w:rsidRPr="004C35B6">
        <w:rPr>
          <w:color w:val="C45911" w:themeColor="accent2" w:themeShade="BF"/>
          <w:sz w:val="24"/>
          <w:szCs w:val="24"/>
        </w:rPr>
        <w:t>зренческие основы, характерные черты).</w:t>
      </w:r>
    </w:p>
    <w:p w14:paraId="3AAAF956" w14:textId="77777777" w:rsidR="00F13F9D" w:rsidRPr="004C35B6" w:rsidRDefault="002F2CBD" w:rsidP="002F2CBD">
      <w:pPr>
        <w:pStyle w:val="a3"/>
        <w:numPr>
          <w:ilvl w:val="0"/>
          <w:numId w:val="1"/>
        </w:numPr>
        <w:jc w:val="both"/>
        <w:rPr>
          <w:color w:val="C45911" w:themeColor="accent2" w:themeShade="BF"/>
          <w:sz w:val="24"/>
          <w:szCs w:val="24"/>
        </w:rPr>
      </w:pPr>
      <w:r w:rsidRPr="004C35B6">
        <w:rPr>
          <w:color w:val="C45911" w:themeColor="accent2" w:themeShade="BF"/>
          <w:sz w:val="24"/>
          <w:szCs w:val="24"/>
        </w:rPr>
        <w:t xml:space="preserve"> </w:t>
      </w:r>
      <w:r w:rsidR="00541288" w:rsidRPr="004C35B6">
        <w:rPr>
          <w:color w:val="C45911" w:themeColor="accent2" w:themeShade="BF"/>
          <w:sz w:val="24"/>
          <w:szCs w:val="24"/>
        </w:rPr>
        <w:t xml:space="preserve">Роль античности в </w:t>
      </w:r>
      <w:proofErr w:type="gramStart"/>
      <w:r w:rsidR="00541288" w:rsidRPr="004C35B6">
        <w:rPr>
          <w:color w:val="C45911" w:themeColor="accent2" w:themeShade="BF"/>
          <w:sz w:val="24"/>
          <w:szCs w:val="24"/>
        </w:rPr>
        <w:t xml:space="preserve">становлении </w:t>
      </w:r>
      <w:r w:rsidR="00F13F9D" w:rsidRPr="004C35B6">
        <w:rPr>
          <w:color w:val="C45911" w:themeColor="accent2" w:themeShade="BF"/>
          <w:sz w:val="24"/>
          <w:szCs w:val="24"/>
        </w:rPr>
        <w:t xml:space="preserve"> западноевропейской</w:t>
      </w:r>
      <w:proofErr w:type="gramEnd"/>
      <w:r w:rsidR="00F13F9D" w:rsidRPr="004C35B6">
        <w:rPr>
          <w:color w:val="C45911" w:themeColor="accent2" w:themeShade="BF"/>
          <w:sz w:val="24"/>
          <w:szCs w:val="24"/>
        </w:rPr>
        <w:t xml:space="preserve"> культуры. </w:t>
      </w:r>
    </w:p>
    <w:p w14:paraId="4C2C371A" w14:textId="77777777" w:rsidR="009E5A76" w:rsidRPr="004C35B6" w:rsidRDefault="00F13F9D" w:rsidP="002F2CBD">
      <w:pPr>
        <w:pStyle w:val="a3"/>
        <w:numPr>
          <w:ilvl w:val="0"/>
          <w:numId w:val="1"/>
        </w:numPr>
        <w:jc w:val="both"/>
        <w:rPr>
          <w:color w:val="538135" w:themeColor="accent6" w:themeShade="BF"/>
          <w:sz w:val="24"/>
          <w:szCs w:val="24"/>
        </w:rPr>
      </w:pPr>
      <w:r w:rsidRPr="004C35B6">
        <w:rPr>
          <w:color w:val="538135" w:themeColor="accent6" w:themeShade="BF"/>
          <w:sz w:val="24"/>
          <w:szCs w:val="24"/>
        </w:rPr>
        <w:t xml:space="preserve">Общая характеристика культуры восточнославянских </w:t>
      </w:r>
      <w:r w:rsidR="002F2CBD" w:rsidRPr="004C35B6">
        <w:rPr>
          <w:color w:val="538135" w:themeColor="accent6" w:themeShade="BF"/>
          <w:sz w:val="24"/>
          <w:szCs w:val="24"/>
        </w:rPr>
        <w:t>племен (хронология, ареал, миро</w:t>
      </w:r>
      <w:r w:rsidRPr="004C35B6">
        <w:rPr>
          <w:color w:val="538135" w:themeColor="accent6" w:themeShade="BF"/>
          <w:sz w:val="24"/>
          <w:szCs w:val="24"/>
        </w:rPr>
        <w:t>воззренческие основы, характерные черты).</w:t>
      </w:r>
    </w:p>
    <w:p w14:paraId="574AB8A3" w14:textId="77777777" w:rsidR="00F13F9D" w:rsidRPr="004C35B6" w:rsidRDefault="00F13F9D" w:rsidP="00385654">
      <w:pPr>
        <w:pStyle w:val="a3"/>
        <w:numPr>
          <w:ilvl w:val="0"/>
          <w:numId w:val="1"/>
        </w:numPr>
        <w:jc w:val="both"/>
        <w:rPr>
          <w:color w:val="C00000"/>
          <w:sz w:val="24"/>
          <w:szCs w:val="24"/>
        </w:rPr>
      </w:pPr>
      <w:r w:rsidRPr="004C35B6">
        <w:rPr>
          <w:color w:val="C00000"/>
          <w:sz w:val="24"/>
          <w:szCs w:val="24"/>
        </w:rPr>
        <w:t>Культура Западной Европы и России в Средневековье: общие черты и особенности</w:t>
      </w:r>
      <w:proofErr w:type="gramStart"/>
      <w:r w:rsidR="00385654">
        <w:rPr>
          <w:color w:val="C00000"/>
          <w:sz w:val="24"/>
          <w:szCs w:val="24"/>
        </w:rPr>
        <w:t xml:space="preserve">  </w:t>
      </w:r>
      <w:r w:rsidR="00385654" w:rsidRPr="00385654">
        <w:rPr>
          <w:color w:val="C00000"/>
          <w:sz w:val="24"/>
          <w:szCs w:val="24"/>
        </w:rPr>
        <w:t xml:space="preserve"> (</w:t>
      </w:r>
      <w:proofErr w:type="gramEnd"/>
      <w:r w:rsidR="00385654" w:rsidRPr="00385654">
        <w:rPr>
          <w:color w:val="C00000"/>
          <w:sz w:val="24"/>
          <w:szCs w:val="24"/>
        </w:rPr>
        <w:t>хронология, периодизация, ареал, мировоззренческие ос</w:t>
      </w:r>
      <w:r w:rsidR="00385654">
        <w:rPr>
          <w:color w:val="C00000"/>
          <w:sz w:val="24"/>
          <w:szCs w:val="24"/>
        </w:rPr>
        <w:t>новы, характерные черты)</w:t>
      </w:r>
      <w:r w:rsidRPr="004C35B6">
        <w:rPr>
          <w:color w:val="C00000"/>
          <w:sz w:val="24"/>
          <w:szCs w:val="24"/>
        </w:rPr>
        <w:t>.</w:t>
      </w:r>
    </w:p>
    <w:p w14:paraId="689A1709" w14:textId="77777777" w:rsidR="00F13F9D" w:rsidRPr="004C35B6" w:rsidRDefault="00F13F9D" w:rsidP="002F2CBD">
      <w:pPr>
        <w:pStyle w:val="a3"/>
        <w:numPr>
          <w:ilvl w:val="0"/>
          <w:numId w:val="1"/>
        </w:numPr>
        <w:jc w:val="both"/>
        <w:rPr>
          <w:color w:val="C00000"/>
          <w:sz w:val="24"/>
          <w:szCs w:val="24"/>
        </w:rPr>
      </w:pPr>
      <w:r w:rsidRPr="004C35B6">
        <w:rPr>
          <w:color w:val="C00000"/>
          <w:sz w:val="24"/>
          <w:szCs w:val="24"/>
        </w:rPr>
        <w:t xml:space="preserve">Внутренние </w:t>
      </w:r>
      <w:r w:rsidR="00FF4A90" w:rsidRPr="004C35B6">
        <w:rPr>
          <w:color w:val="C00000"/>
          <w:sz w:val="24"/>
          <w:szCs w:val="24"/>
        </w:rPr>
        <w:t>(наследие античности, культура варваров, традиции христианства)</w:t>
      </w:r>
      <w:r w:rsidR="00A3225B" w:rsidRPr="004C35B6">
        <w:rPr>
          <w:color w:val="C00000"/>
          <w:sz w:val="24"/>
          <w:szCs w:val="24"/>
        </w:rPr>
        <w:t xml:space="preserve"> </w:t>
      </w:r>
      <w:r w:rsidRPr="004C35B6">
        <w:rPr>
          <w:color w:val="C00000"/>
          <w:sz w:val="24"/>
          <w:szCs w:val="24"/>
        </w:rPr>
        <w:t xml:space="preserve">источники и внешние </w:t>
      </w:r>
      <w:r w:rsidR="00FF4A90" w:rsidRPr="004C35B6">
        <w:rPr>
          <w:color w:val="C00000"/>
          <w:sz w:val="24"/>
          <w:szCs w:val="24"/>
        </w:rPr>
        <w:t>(византийская, арабская культура)</w:t>
      </w:r>
      <w:r w:rsidR="00A3225B" w:rsidRPr="004C35B6">
        <w:rPr>
          <w:color w:val="C00000"/>
          <w:sz w:val="24"/>
          <w:szCs w:val="24"/>
        </w:rPr>
        <w:t xml:space="preserve"> </w:t>
      </w:r>
      <w:r w:rsidRPr="004C35B6">
        <w:rPr>
          <w:color w:val="C00000"/>
          <w:sz w:val="24"/>
          <w:szCs w:val="24"/>
        </w:rPr>
        <w:t>факторы культурного развития средневековой Европы. Христианство как мировоззренческий стержень культуры Средневековья.</w:t>
      </w:r>
    </w:p>
    <w:p w14:paraId="7A729B98" w14:textId="77777777" w:rsidR="00F13F9D" w:rsidRPr="004C35B6" w:rsidRDefault="00F13F9D" w:rsidP="002F2CBD">
      <w:pPr>
        <w:pStyle w:val="a3"/>
        <w:numPr>
          <w:ilvl w:val="0"/>
          <w:numId w:val="1"/>
        </w:numPr>
        <w:jc w:val="both"/>
        <w:rPr>
          <w:color w:val="C00000"/>
          <w:sz w:val="24"/>
          <w:szCs w:val="24"/>
        </w:rPr>
      </w:pPr>
      <w:r w:rsidRPr="004C35B6">
        <w:rPr>
          <w:color w:val="C00000"/>
          <w:sz w:val="24"/>
          <w:szCs w:val="24"/>
        </w:rPr>
        <w:t>Романский стиль в художественной культуре Западной Европы.</w:t>
      </w:r>
    </w:p>
    <w:p w14:paraId="19C80291" w14:textId="77777777" w:rsidR="00DE339C" w:rsidRPr="004C35B6" w:rsidRDefault="00DE339C" w:rsidP="00DE339C">
      <w:pPr>
        <w:pStyle w:val="a3"/>
        <w:numPr>
          <w:ilvl w:val="0"/>
          <w:numId w:val="1"/>
        </w:numPr>
        <w:rPr>
          <w:color w:val="C00000"/>
          <w:sz w:val="24"/>
          <w:szCs w:val="24"/>
        </w:rPr>
      </w:pPr>
      <w:r w:rsidRPr="004C35B6">
        <w:rPr>
          <w:color w:val="C00000"/>
          <w:sz w:val="24"/>
          <w:szCs w:val="24"/>
        </w:rPr>
        <w:t>Готика в художественной культуре Западной Европы.</w:t>
      </w:r>
    </w:p>
    <w:p w14:paraId="29174154" w14:textId="77777777" w:rsidR="00FF4A90" w:rsidRPr="004C35B6" w:rsidRDefault="00FF4A90" w:rsidP="002F2CBD">
      <w:pPr>
        <w:pStyle w:val="a3"/>
        <w:numPr>
          <w:ilvl w:val="0"/>
          <w:numId w:val="1"/>
        </w:numPr>
        <w:jc w:val="both"/>
        <w:rPr>
          <w:color w:val="538135" w:themeColor="accent6" w:themeShade="BF"/>
          <w:sz w:val="24"/>
          <w:szCs w:val="24"/>
        </w:rPr>
      </w:pPr>
      <w:r w:rsidRPr="004C35B6">
        <w:rPr>
          <w:color w:val="538135" w:themeColor="accent6" w:themeShade="BF"/>
          <w:sz w:val="24"/>
          <w:szCs w:val="24"/>
        </w:rPr>
        <w:t>Культура Восточной Римской империи (Византийской империи)</w:t>
      </w:r>
      <w:r w:rsidR="00B06C19" w:rsidRPr="004C35B6">
        <w:rPr>
          <w:color w:val="538135" w:themeColor="accent6" w:themeShade="BF"/>
          <w:sz w:val="24"/>
          <w:szCs w:val="24"/>
        </w:rPr>
        <w:t xml:space="preserve"> </w:t>
      </w:r>
      <w:r w:rsidRPr="004C35B6">
        <w:rPr>
          <w:color w:val="538135" w:themeColor="accent6" w:themeShade="BF"/>
          <w:sz w:val="24"/>
          <w:szCs w:val="24"/>
        </w:rPr>
        <w:t>(395-1453) и её влияние на</w:t>
      </w:r>
      <w:r w:rsidR="00B06C19" w:rsidRPr="004C35B6">
        <w:rPr>
          <w:color w:val="538135" w:themeColor="accent6" w:themeShade="BF"/>
          <w:sz w:val="24"/>
          <w:szCs w:val="24"/>
        </w:rPr>
        <w:t xml:space="preserve"> формирование и развитие культуры Древней Руси.</w:t>
      </w:r>
    </w:p>
    <w:p w14:paraId="7C320662" w14:textId="77777777" w:rsidR="007F357A" w:rsidRPr="004C35B6" w:rsidRDefault="007F357A" w:rsidP="002F2CBD">
      <w:pPr>
        <w:pStyle w:val="a3"/>
        <w:numPr>
          <w:ilvl w:val="0"/>
          <w:numId w:val="1"/>
        </w:numPr>
        <w:jc w:val="both"/>
        <w:rPr>
          <w:color w:val="538135" w:themeColor="accent6" w:themeShade="BF"/>
          <w:sz w:val="24"/>
          <w:szCs w:val="24"/>
        </w:rPr>
      </w:pPr>
      <w:r w:rsidRPr="004C35B6">
        <w:rPr>
          <w:color w:val="538135" w:themeColor="accent6" w:themeShade="BF"/>
          <w:sz w:val="24"/>
          <w:szCs w:val="24"/>
        </w:rPr>
        <w:t>Синтез византийской традиции и национального своеобразия как основа средневековой культуры Руси.</w:t>
      </w:r>
    </w:p>
    <w:p w14:paraId="262BD9C2" w14:textId="77777777" w:rsidR="007F357A" w:rsidRPr="004C35B6" w:rsidRDefault="007F357A" w:rsidP="002F2CBD">
      <w:pPr>
        <w:pStyle w:val="a3"/>
        <w:numPr>
          <w:ilvl w:val="0"/>
          <w:numId w:val="1"/>
        </w:numPr>
        <w:jc w:val="both"/>
        <w:rPr>
          <w:color w:val="538135" w:themeColor="accent6" w:themeShade="BF"/>
          <w:sz w:val="24"/>
          <w:szCs w:val="24"/>
        </w:rPr>
      </w:pPr>
      <w:r w:rsidRPr="004C35B6">
        <w:rPr>
          <w:color w:val="538135" w:themeColor="accent6" w:themeShade="BF"/>
          <w:sz w:val="24"/>
          <w:szCs w:val="24"/>
        </w:rPr>
        <w:t>Общая характеристика средневековой русской культуры (источники и факторы развития, хронология, периодизация, ареал, мировоззренческие основы, характерные черты).</w:t>
      </w:r>
    </w:p>
    <w:p w14:paraId="7B4DC090" w14:textId="77777777" w:rsidR="007F357A" w:rsidRPr="004C35B6" w:rsidRDefault="007F357A" w:rsidP="002F2CBD">
      <w:pPr>
        <w:pStyle w:val="a3"/>
        <w:numPr>
          <w:ilvl w:val="0"/>
          <w:numId w:val="1"/>
        </w:numPr>
        <w:jc w:val="both"/>
        <w:rPr>
          <w:color w:val="2E74B5" w:themeColor="accent1" w:themeShade="BF"/>
          <w:sz w:val="24"/>
          <w:szCs w:val="24"/>
        </w:rPr>
      </w:pPr>
      <w:r w:rsidRPr="004C35B6">
        <w:rPr>
          <w:color w:val="2E74B5" w:themeColor="accent1" w:themeShade="BF"/>
          <w:sz w:val="24"/>
          <w:szCs w:val="24"/>
        </w:rPr>
        <w:t>Общая характеристика культуры эпохи Возрождения (истоки, хронология, периодизация, ареал, мировоззренческие основы, характерные черты, выдающиеся деятели).</w:t>
      </w:r>
    </w:p>
    <w:p w14:paraId="70E15363" w14:textId="77777777" w:rsidR="002F2CBD" w:rsidRDefault="002F2CBD" w:rsidP="002F2CBD">
      <w:pPr>
        <w:pStyle w:val="a3"/>
        <w:numPr>
          <w:ilvl w:val="0"/>
          <w:numId w:val="1"/>
        </w:numPr>
        <w:jc w:val="both"/>
        <w:rPr>
          <w:color w:val="2E74B5" w:themeColor="accent1" w:themeShade="BF"/>
          <w:sz w:val="24"/>
          <w:szCs w:val="24"/>
        </w:rPr>
      </w:pPr>
      <w:r w:rsidRPr="004C35B6">
        <w:rPr>
          <w:color w:val="2E74B5" w:themeColor="accent1" w:themeShade="BF"/>
          <w:sz w:val="24"/>
          <w:szCs w:val="24"/>
        </w:rPr>
        <w:t xml:space="preserve">Творчество выдающихся мастеров </w:t>
      </w:r>
      <w:r w:rsidR="00385654">
        <w:rPr>
          <w:color w:val="2E74B5" w:themeColor="accent1" w:themeShade="BF"/>
          <w:sz w:val="24"/>
          <w:szCs w:val="24"/>
        </w:rPr>
        <w:t>Высокого</w:t>
      </w:r>
      <w:r w:rsidRPr="004C35B6">
        <w:rPr>
          <w:color w:val="2E74B5" w:themeColor="accent1" w:themeShade="BF"/>
          <w:sz w:val="24"/>
          <w:szCs w:val="24"/>
        </w:rPr>
        <w:t xml:space="preserve"> Возрождения.</w:t>
      </w:r>
    </w:p>
    <w:p w14:paraId="0F48FF91" w14:textId="77777777" w:rsidR="008536F8" w:rsidRPr="004C35B6" w:rsidRDefault="008536F8" w:rsidP="002F2CBD">
      <w:pPr>
        <w:pStyle w:val="a3"/>
        <w:numPr>
          <w:ilvl w:val="0"/>
          <w:numId w:val="1"/>
        </w:numPr>
        <w:jc w:val="both"/>
        <w:rPr>
          <w:color w:val="00B050"/>
          <w:sz w:val="24"/>
          <w:szCs w:val="24"/>
        </w:rPr>
      </w:pPr>
      <w:r w:rsidRPr="004C35B6">
        <w:rPr>
          <w:color w:val="00B050"/>
          <w:sz w:val="24"/>
          <w:szCs w:val="24"/>
        </w:rPr>
        <w:t>Общая характеристика западноевропейской культуры Нового времени (предпосылки, факторы развития, хронология, периодизация, ареал, мировоззренческие основы, характерные черты).</w:t>
      </w:r>
    </w:p>
    <w:p w14:paraId="7E81283A" w14:textId="77777777" w:rsidR="007F357A" w:rsidRPr="004C35B6" w:rsidRDefault="008536F8" w:rsidP="002F2CBD">
      <w:pPr>
        <w:pStyle w:val="a3"/>
        <w:numPr>
          <w:ilvl w:val="0"/>
          <w:numId w:val="1"/>
        </w:numPr>
        <w:jc w:val="both"/>
        <w:rPr>
          <w:color w:val="00B050"/>
          <w:sz w:val="24"/>
          <w:szCs w:val="24"/>
        </w:rPr>
      </w:pPr>
      <w:r w:rsidRPr="004C35B6">
        <w:rPr>
          <w:color w:val="00B050"/>
          <w:sz w:val="24"/>
          <w:szCs w:val="24"/>
        </w:rPr>
        <w:t xml:space="preserve">Культура Западной Европы </w:t>
      </w:r>
      <w:r w:rsidRPr="004C35B6">
        <w:rPr>
          <w:color w:val="00B050"/>
          <w:sz w:val="24"/>
          <w:szCs w:val="24"/>
          <w:lang w:val="en-US"/>
        </w:rPr>
        <w:t>XVII</w:t>
      </w:r>
      <w:r w:rsidRPr="004C35B6">
        <w:rPr>
          <w:color w:val="00B050"/>
          <w:sz w:val="24"/>
          <w:szCs w:val="24"/>
        </w:rPr>
        <w:t xml:space="preserve"> века. Барокко и классицизм как «большие стили» европейского искусства.</w:t>
      </w:r>
    </w:p>
    <w:p w14:paraId="3BF12F02" w14:textId="77777777" w:rsidR="008536F8" w:rsidRPr="004C35B6" w:rsidRDefault="008536F8" w:rsidP="002F2CBD">
      <w:pPr>
        <w:pStyle w:val="a3"/>
        <w:numPr>
          <w:ilvl w:val="0"/>
          <w:numId w:val="1"/>
        </w:numPr>
        <w:jc w:val="both"/>
        <w:rPr>
          <w:color w:val="00B050"/>
          <w:sz w:val="24"/>
          <w:szCs w:val="24"/>
        </w:rPr>
      </w:pPr>
      <w:r w:rsidRPr="004C35B6">
        <w:rPr>
          <w:color w:val="00B050"/>
          <w:sz w:val="24"/>
          <w:szCs w:val="24"/>
        </w:rPr>
        <w:t>Реформы Петра I как фактор развития культуры России в</w:t>
      </w:r>
      <w:r w:rsidR="00D943E6" w:rsidRPr="004C35B6">
        <w:rPr>
          <w:color w:val="00B050"/>
          <w:sz w:val="24"/>
          <w:szCs w:val="24"/>
        </w:rPr>
        <w:t xml:space="preserve"> первой половине XVIII в. Основание Санкт-Петербурга.</w:t>
      </w:r>
    </w:p>
    <w:p w14:paraId="2EA535F8" w14:textId="77777777" w:rsidR="00D943E6" w:rsidRPr="004C35B6" w:rsidRDefault="00D943E6" w:rsidP="002F2CBD">
      <w:pPr>
        <w:pStyle w:val="a3"/>
        <w:numPr>
          <w:ilvl w:val="0"/>
          <w:numId w:val="1"/>
        </w:numPr>
        <w:jc w:val="both"/>
        <w:rPr>
          <w:color w:val="00B050"/>
          <w:sz w:val="24"/>
          <w:szCs w:val="24"/>
        </w:rPr>
      </w:pPr>
      <w:r w:rsidRPr="004C35B6">
        <w:rPr>
          <w:color w:val="00B050"/>
          <w:sz w:val="24"/>
          <w:szCs w:val="24"/>
        </w:rPr>
        <w:t>Стиль барок</w:t>
      </w:r>
      <w:r w:rsidR="009B006B">
        <w:rPr>
          <w:color w:val="00B050"/>
          <w:sz w:val="24"/>
          <w:szCs w:val="24"/>
        </w:rPr>
        <w:t xml:space="preserve">ко в русском искусстве </w:t>
      </w:r>
      <w:r w:rsidR="00760257" w:rsidRPr="004C35B6">
        <w:rPr>
          <w:color w:val="00B050"/>
          <w:sz w:val="24"/>
          <w:szCs w:val="24"/>
        </w:rPr>
        <w:t>(на примере архитектуры и искусства Санкт-Петербурга)</w:t>
      </w:r>
      <w:r w:rsidRPr="004C35B6">
        <w:rPr>
          <w:color w:val="00B050"/>
          <w:sz w:val="24"/>
          <w:szCs w:val="24"/>
        </w:rPr>
        <w:t>.</w:t>
      </w:r>
    </w:p>
    <w:p w14:paraId="1314478F" w14:textId="77777777" w:rsidR="004F49B7" w:rsidRPr="004C35B6" w:rsidRDefault="004F49B7" w:rsidP="002F2CBD">
      <w:pPr>
        <w:pStyle w:val="a3"/>
        <w:numPr>
          <w:ilvl w:val="0"/>
          <w:numId w:val="1"/>
        </w:numPr>
        <w:jc w:val="both"/>
        <w:rPr>
          <w:color w:val="00B050"/>
          <w:sz w:val="24"/>
          <w:szCs w:val="24"/>
        </w:rPr>
      </w:pPr>
      <w:r w:rsidRPr="004C35B6">
        <w:rPr>
          <w:color w:val="00B050"/>
          <w:sz w:val="24"/>
          <w:szCs w:val="24"/>
        </w:rPr>
        <w:t xml:space="preserve">Стиль «классицизм» в русском искусстве </w:t>
      </w:r>
      <w:r w:rsidRPr="004C35B6">
        <w:rPr>
          <w:color w:val="00B050"/>
          <w:sz w:val="24"/>
          <w:szCs w:val="24"/>
          <w:lang w:val="en-US"/>
        </w:rPr>
        <w:t>XVIII</w:t>
      </w:r>
      <w:r w:rsidRPr="004C35B6">
        <w:rPr>
          <w:color w:val="00B050"/>
          <w:sz w:val="24"/>
          <w:szCs w:val="24"/>
        </w:rPr>
        <w:t xml:space="preserve">- </w:t>
      </w:r>
      <w:r w:rsidRPr="004C35B6">
        <w:rPr>
          <w:color w:val="00B050"/>
          <w:sz w:val="24"/>
          <w:szCs w:val="24"/>
          <w:lang w:val="en-US"/>
        </w:rPr>
        <w:t>XIX</w:t>
      </w:r>
      <w:r w:rsidRPr="004C35B6">
        <w:rPr>
          <w:color w:val="00B050"/>
          <w:sz w:val="24"/>
          <w:szCs w:val="24"/>
        </w:rPr>
        <w:t xml:space="preserve"> </w:t>
      </w:r>
      <w:proofErr w:type="spellStart"/>
      <w:r w:rsidRPr="004C35B6">
        <w:rPr>
          <w:color w:val="00B050"/>
          <w:sz w:val="24"/>
          <w:szCs w:val="24"/>
        </w:rPr>
        <w:t>вв</w:t>
      </w:r>
      <w:proofErr w:type="spellEnd"/>
      <w:r w:rsidR="00760257" w:rsidRPr="004C35B6">
        <w:rPr>
          <w:color w:val="00B050"/>
          <w:sz w:val="24"/>
          <w:szCs w:val="24"/>
        </w:rPr>
        <w:t xml:space="preserve"> (на примере архитектуры Санкт-Петербурга)</w:t>
      </w:r>
      <w:r w:rsidRPr="004C35B6">
        <w:rPr>
          <w:color w:val="00B050"/>
          <w:sz w:val="24"/>
          <w:szCs w:val="24"/>
        </w:rPr>
        <w:t>.</w:t>
      </w:r>
    </w:p>
    <w:p w14:paraId="0C09F1F9" w14:textId="77777777" w:rsidR="004F49B7" w:rsidRPr="002F20FE" w:rsidRDefault="006B62B2" w:rsidP="002F2CBD">
      <w:pPr>
        <w:pStyle w:val="a3"/>
        <w:numPr>
          <w:ilvl w:val="0"/>
          <w:numId w:val="1"/>
        </w:numPr>
        <w:jc w:val="both"/>
        <w:rPr>
          <w:color w:val="7030A0"/>
          <w:sz w:val="24"/>
          <w:szCs w:val="24"/>
        </w:rPr>
      </w:pPr>
      <w:r w:rsidRPr="002F20FE">
        <w:rPr>
          <w:color w:val="7030A0"/>
          <w:sz w:val="24"/>
          <w:szCs w:val="24"/>
        </w:rPr>
        <w:t>Романти</w:t>
      </w:r>
      <w:r w:rsidR="00E04CD8" w:rsidRPr="002F20FE">
        <w:rPr>
          <w:color w:val="7030A0"/>
          <w:sz w:val="24"/>
          <w:szCs w:val="24"/>
        </w:rPr>
        <w:t>зм как идейное и художественное направление в европейской и русской духовной культуре кон. 18 — 1-й пол. 19 вв.</w:t>
      </w:r>
    </w:p>
    <w:p w14:paraId="749499B2" w14:textId="77777777" w:rsidR="00E04CD8" w:rsidRPr="002F20FE" w:rsidRDefault="00E04CD8" w:rsidP="002F2CBD">
      <w:pPr>
        <w:pStyle w:val="a3"/>
        <w:numPr>
          <w:ilvl w:val="0"/>
          <w:numId w:val="1"/>
        </w:numPr>
        <w:jc w:val="both"/>
        <w:rPr>
          <w:color w:val="2F5496" w:themeColor="accent5" w:themeShade="BF"/>
          <w:sz w:val="24"/>
          <w:szCs w:val="24"/>
        </w:rPr>
      </w:pPr>
      <w:r w:rsidRPr="002F20FE">
        <w:rPr>
          <w:color w:val="2F5496" w:themeColor="accent5" w:themeShade="BF"/>
          <w:sz w:val="24"/>
          <w:szCs w:val="24"/>
        </w:rPr>
        <w:t xml:space="preserve">Реализм как крупнейшее направление в </w:t>
      </w:r>
      <w:r w:rsidR="00D06452" w:rsidRPr="002F20FE">
        <w:rPr>
          <w:color w:val="2F5496" w:themeColor="accent5" w:themeShade="BF"/>
          <w:sz w:val="24"/>
          <w:szCs w:val="24"/>
        </w:rPr>
        <w:t xml:space="preserve">европейской и русской </w:t>
      </w:r>
      <w:r w:rsidRPr="002F20FE">
        <w:rPr>
          <w:color w:val="2F5496" w:themeColor="accent5" w:themeShade="BF"/>
          <w:sz w:val="24"/>
          <w:szCs w:val="24"/>
        </w:rPr>
        <w:t>культуре второй половины XIX в.</w:t>
      </w:r>
    </w:p>
    <w:p w14:paraId="03D9435E" w14:textId="77777777" w:rsidR="00D06452" w:rsidRPr="002F20FE" w:rsidRDefault="00D06452" w:rsidP="002F2CBD">
      <w:pPr>
        <w:pStyle w:val="a3"/>
        <w:numPr>
          <w:ilvl w:val="0"/>
          <w:numId w:val="1"/>
        </w:numPr>
        <w:jc w:val="both"/>
        <w:rPr>
          <w:color w:val="2F5496" w:themeColor="accent5" w:themeShade="BF"/>
          <w:sz w:val="24"/>
          <w:szCs w:val="24"/>
        </w:rPr>
      </w:pPr>
      <w:r w:rsidRPr="002F20FE">
        <w:rPr>
          <w:color w:val="2F5496" w:themeColor="accent5" w:themeShade="BF"/>
          <w:sz w:val="24"/>
          <w:szCs w:val="24"/>
        </w:rPr>
        <w:t xml:space="preserve">Многообразие формальных поисков в художественной культуре второй половины </w:t>
      </w:r>
      <w:r w:rsidRPr="002F20FE">
        <w:rPr>
          <w:color w:val="2F5496" w:themeColor="accent5" w:themeShade="BF"/>
          <w:sz w:val="24"/>
          <w:szCs w:val="24"/>
          <w:lang w:val="en-US"/>
        </w:rPr>
        <w:t>XIX</w:t>
      </w:r>
      <w:r w:rsidRPr="002F20FE">
        <w:rPr>
          <w:color w:val="2F5496" w:themeColor="accent5" w:themeShade="BF"/>
          <w:sz w:val="24"/>
          <w:szCs w:val="24"/>
        </w:rPr>
        <w:t xml:space="preserve"> века</w:t>
      </w:r>
      <w:r w:rsidR="00624543">
        <w:rPr>
          <w:color w:val="2F5496" w:themeColor="accent5" w:themeShade="BF"/>
          <w:sz w:val="24"/>
          <w:szCs w:val="24"/>
        </w:rPr>
        <w:t xml:space="preserve"> (импрессионизм, постимпрессионизм, символизм)</w:t>
      </w:r>
    </w:p>
    <w:p w14:paraId="23C021EC" w14:textId="14A90491" w:rsidR="00F13F9D" w:rsidRPr="0096623C" w:rsidRDefault="00F13F9D">
      <w:pPr>
        <w:rPr>
          <w:color w:val="FF0000"/>
        </w:rPr>
      </w:pPr>
    </w:p>
    <w:sectPr w:rsidR="00F13F9D" w:rsidRPr="0096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25D"/>
    <w:multiLevelType w:val="hybridMultilevel"/>
    <w:tmpl w:val="FEEEA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F0"/>
    <w:rsid w:val="00010ED2"/>
    <w:rsid w:val="000B7090"/>
    <w:rsid w:val="000F43A4"/>
    <w:rsid w:val="002F20FE"/>
    <w:rsid w:val="002F2CBD"/>
    <w:rsid w:val="00385654"/>
    <w:rsid w:val="0048595C"/>
    <w:rsid w:val="004C35B6"/>
    <w:rsid w:val="004F49B7"/>
    <w:rsid w:val="00522C4A"/>
    <w:rsid w:val="00523828"/>
    <w:rsid w:val="00541288"/>
    <w:rsid w:val="00546C1F"/>
    <w:rsid w:val="005909F0"/>
    <w:rsid w:val="00624543"/>
    <w:rsid w:val="00692FD7"/>
    <w:rsid w:val="006B62B2"/>
    <w:rsid w:val="006E627A"/>
    <w:rsid w:val="00760257"/>
    <w:rsid w:val="007F357A"/>
    <w:rsid w:val="008536F8"/>
    <w:rsid w:val="0096623C"/>
    <w:rsid w:val="009B006B"/>
    <w:rsid w:val="009E5A76"/>
    <w:rsid w:val="00A3225B"/>
    <w:rsid w:val="00B06C19"/>
    <w:rsid w:val="00D06452"/>
    <w:rsid w:val="00D943E6"/>
    <w:rsid w:val="00DE339C"/>
    <w:rsid w:val="00E0195E"/>
    <w:rsid w:val="00E04CD8"/>
    <w:rsid w:val="00E842CC"/>
    <w:rsid w:val="00EA17B4"/>
    <w:rsid w:val="00EA46B5"/>
    <w:rsid w:val="00ED3388"/>
    <w:rsid w:val="00F07441"/>
    <w:rsid w:val="00F13F9D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C97E"/>
  <w15:chartTrackingRefBased/>
  <w15:docId w15:val="{A24FFD95-E5EC-4D9C-B2D8-E64B27E2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Галина</cp:lastModifiedBy>
  <cp:revision>13</cp:revision>
  <dcterms:created xsi:type="dcterms:W3CDTF">2019-12-26T21:09:00Z</dcterms:created>
  <dcterms:modified xsi:type="dcterms:W3CDTF">2022-12-12T20:33:00Z</dcterms:modified>
</cp:coreProperties>
</file>