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F4E5F"/>
          <w:sz w:val="60"/>
          <w:szCs w:val="60"/>
        </w:rPr>
        <w:t xml:space="preserve">VALUON</w:t>
      </w:r>
    </w:p>
    <w:p>
      <w:pPr>
        <w:spacing w:after="100"/>
      </w:pPr>
      <w:r>
        <w:rPr>
          <w:rFonts w:ascii="Calibri" w:cs="Calibri" w:eastAsia="Calibri" w:hAnsi="Calibri"/>
          <w:b/>
          <w:bCs/>
          <w:sz w:val="32"/>
          <w:szCs w:val="32"/>
        </w:rPr>
        <w:t xml:space="preserve">Стратегия развития 2026–2028</w:t>
      </w:r>
    </w:p>
    <w:p>
      <w:pPr>
        <w:spacing w:after="300"/>
      </w:pPr>
      <w:r>
        <w:rPr>
          <w:rFonts w:ascii="Calibri" w:cs="Calibri" w:eastAsia="Calibri" w:hAnsi="Calibri"/>
          <w:b/>
          <w:bCs/>
          <w:color w:val="35707F"/>
          <w:sz w:val="24"/>
          <w:szCs w:val="24"/>
        </w:rPr>
        <w:t xml:space="preserve">Единая платформа официальных цифровых чеков — с исследованием проблемы, рынка, регуляторики и пошаговым планом</w:t>
      </w:r>
    </w:p>
    <w:p>
      <w:pPr>
        <w:spacing w:after="100"/>
      </w:pPr>
      <w:r>
        <w:rPr>
          <w:rFonts w:ascii="Calibri" w:cs="Calibri" w:eastAsia="Calibri" w:hAnsi="Calibri"/>
          <w:i/>
          <w:iCs/>
          <w:color w:val="666666"/>
          <w:sz w:val="20"/>
          <w:szCs w:val="20"/>
        </w:rPr>
        <w:t xml:space="preserve">Версия 5.0 — полная редакция, объединяющая исследование проблемы (в. 3.0) и стратегическое ядро вокруг официального чека (в. 4.0)</w:t>
      </w:r>
    </w:p>
    <w:p>
      <w:pPr>
        <w:spacing w:after="500"/>
      </w:pPr>
      <w:r>
        <w:rPr>
          <w:rFonts w:ascii="Calibri" w:cs="Calibri" w:eastAsia="Calibri" w:hAnsi="Calibri"/>
          <w:i/>
          <w:iCs/>
          <w:color w:val="666666"/>
          <w:sz w:val="20"/>
          <w:szCs w:val="20"/>
        </w:rPr>
        <w:t xml:space="preserve">7 июля 2026 г. · Статус: MVP работает (Supabase + JS, авторизация, дашборд, бизнес-панель) → уточнение стратегии перед масштабированием</w:t>
      </w:r>
    </w:p>
    <w:p>
      <w:pPr>
        <w:spacing w:after="160"/>
        <w:jc w:val="both"/>
      </w:pPr>
      <w:r>
        <w:rPr>
          <w:rFonts w:ascii="Calibri" w:cs="Calibri" w:eastAsia="Calibri" w:hAnsi="Calibri"/>
          <w:sz w:val="22"/>
          <w:szCs w:val="22"/>
        </w:rPr>
        <w:t xml:space="preserve">Этот документ — полная версия стратегии, без сокращений. Он собирает в одном месте: честное исследование проблемы и рынка с проверяемыми источниками; карту регуляторики по странам, которая определяет, где и как Valuon может называть свой чек «официальным»; пересобранное вокруг этого ценностное предложение и бизнес-модель; реалистичную техническую архитектуру; и пошаговую дорожную карту с точками принятия решений. Гарантии, история владения и перепродажа техники — по вашему уточнению — идут как надстройка поверх основного продукта, а не как самостоятельная цель.</w:t>
      </w:r>
    </w:p>
    <w:p>
      <w:r>
        <w:br w:type="page"/>
      </w:r>
    </w:p>
    <w:p>
      <w:pPr>
        <w:pStyle w:val="Heading1"/>
      </w:pPr>
      <w:r>
        <w:t xml:space="preserve">0. Резюме</w:t>
      </w:r>
    </w:p>
    <w:p>
      <w:pPr>
        <w:spacing w:after="160"/>
        <w:jc w:val="both"/>
      </w:pPr>
      <w:r>
        <w:rPr>
          <w:rFonts w:ascii="Calibri" w:cs="Calibri" w:eastAsia="Calibri" w:hAnsi="Calibri"/>
          <w:sz w:val="22"/>
          <w:szCs w:val="22"/>
        </w:rPr>
        <w:t xml:space="preserve">Valuon решает настоящую, показанную в данных проблему: подтверждение покупки — это разрозненные, легко теряемые данные, которые невыгодны всем трём сторонам — покупателю, продавцу и государству. Но у этой проблемы есть нюанс, который решает всю стратегию: то, что значит «официальный чек», в разных странах — принципиально разные, несовместимые друг с другом юридические конструкции. Там, где государство уже обязало продавцов подписывать каждый чек сертифицированной системой (Германия, Франция, Италия, Испания и ещё добрая половина ЕС), это поле плотно занято специализированными провайдерами вроде fiskaly и efsta, у которых уже больше миллиона подключённых касс. А там, где такого требования нет (Эстония, Ирландия, Мальта, Финляндия, Лихтенштейн — и США, где нет даже федерального требования просто выдавать чек), поле по сути свободно.</w:t>
      </w:r>
    </w:p>
    <w:p>
      <w:pPr>
        <w:spacing w:after="160"/>
        <w:jc w:val="both"/>
      </w:pPr>
      <w:r>
        <w:rPr>
          <w:rFonts w:ascii="Calibri" w:cs="Calibri" w:eastAsia="Calibri" w:hAnsi="Calibri"/>
          <w:sz w:val="22"/>
          <w:szCs w:val="22"/>
        </w:rPr>
        <w:t xml:space="preserve">Отсюда стратегическое ядро: Valuon становится единой платформой официальных чеков не через один универсальный механизм, а через две параллельные роли — первичный эмитент там, где можно, и реестр/агрегатор поверх чужой государственной системы там, где нельзя. Гарантии и перепродажа — ценная, но вторичная функция, которая работает поверх этого чекового ядра в обоих случаях.</w:t>
      </w:r>
    </w:p>
    <w:p>
      <w:pPr>
        <w:pStyle w:val="Heading1"/>
      </w:pPr>
      <w:r>
        <w:t xml:space="preserve">1. Исследование проблемы: что подтверждают данные, а что нет</w:t>
      </w:r>
    </w:p>
    <w:p>
      <w:pPr>
        <w:pStyle w:val="Heading2"/>
      </w:pPr>
      <w:r>
        <w:t xml:space="preserve">1.1. Возвраты и мошенничество с чеками</w:t>
      </w:r>
    </w:p>
    <w:p>
      <w:pPr>
        <w:spacing w:after="160"/>
        <w:jc w:val="both"/>
      </w:pPr>
      <w:r>
        <w:rPr>
          <w:rFonts w:ascii="Calibri" w:cs="Calibri" w:eastAsia="Calibri" w:hAnsi="Calibri"/>
          <w:sz w:val="22"/>
          <w:szCs w:val="22"/>
        </w:rPr>
        <w:t xml:space="preserve">По данным NRF и Happy Returns («2025 Retail Returns Landscape», октябрь 2025) — это наиболее свежий и авторитетный источник на сегодня — в 2025 году возвраты в розничной торговле США составили около 849,9 млрд долларов, или 15,8% от всех продаж (у онлайн-покупок отдельно — 19,3%). Из всех возвратов 9% признаны мошенническими, то есть порядка 76 млрд долларов в год. Более узкая оценка Appriss Retail — около 19 млрд долларов «утечки прибыли», если считать только напрямую отслеживаемые случаи.</w:t>
      </w:r>
    </w:p>
    <w:p>
      <w:pPr>
        <w:spacing w:after="160"/>
        <w:jc w:val="both"/>
      </w:pPr>
      <w:r>
        <w:rPr>
          <w:rFonts w:ascii="Calibri" w:cs="Calibri" w:eastAsia="Calibri" w:hAnsi="Calibri"/>
          <w:sz w:val="22"/>
          <w:szCs w:val="22"/>
        </w:rPr>
        <w:t xml:space="preserve">Важная оговорка: это данные по США, собранные у крупных ритейлеров (выручка от 500 млн долларов). Для Европы сопоставимой по качеству открытой статистики меньше — в презентациях для европейских партнёров эти цифры нужно явно помечать как американские, а не выдавать за глобальные.</w:t>
      </w:r>
    </w:p>
    <w:p>
      <w:pPr>
        <w:spacing w:after="200"/>
      </w:pPr>
      <w:r>
        <w:rPr>
          <w:rFonts w:ascii="Calibri" w:cs="Calibri" w:eastAsia="Calibri" w:hAnsi="Calibri"/>
          <w:i/>
          <w:iCs/>
          <w:color w:val="555555"/>
          <w:sz w:val="19"/>
          <w:szCs w:val="19"/>
        </w:rPr>
        <w:t xml:space="preserve">Для сравнения: в версии 2.0 документа фигурировала цифра «$30 млрд/год глобально» без указания источника — она нигде не подтверждается и, вероятно, взята из недостоверного пересказа. Использование цифр NRF с указанием источника надёжнее и легче проверяется тем, кому вы показываете презентацию.</w:t>
      </w:r>
    </w:p>
    <w:p>
      <w:pPr>
        <w:pStyle w:val="Heading2"/>
      </w:pPr>
      <w:r>
        <w:t xml:space="preserve">1.2. Электронные отходы</w:t>
      </w:r>
    </w:p>
    <w:p>
      <w:pPr>
        <w:spacing w:after="160"/>
        <w:jc w:val="both"/>
      </w:pPr>
      <w:r>
        <w:rPr>
          <w:rFonts w:ascii="Calibri" w:cs="Calibri" w:eastAsia="Calibri" w:hAnsi="Calibri"/>
          <w:sz w:val="22"/>
          <w:szCs w:val="22"/>
        </w:rPr>
        <w:t xml:space="preserve">По данным Global E-waste Monitor 2024 (ITU / UNITAR) в 2022 году в мире образовалось 62 млн тонн электронных отходов (не 50 млн, как было в более ранней версии документа), из которых официально переработано было только 22,3%. Прогноз на 2030 год — 82 млн тонн. Отсутствие данных о гарантии и истории ремонта, вероятно, ускоряет преждевременную утилизацию исправной техники, но это качественная, а не измеренная напрямую связь — не стоит привязывать к Valuon конкретный процент влияния на глобальный объём e-waste, которого никто не считал.</w:t>
      </w:r>
    </w:p>
    <w:p>
      <w:pPr>
        <w:pStyle w:val="Heading2"/>
      </w:pPr>
      <w:r>
        <w:t xml:space="preserve">1.3. Право на ремонт — ближайшее и самое конкретное окно возможностей</w:t>
      </w:r>
    </w:p>
    <w:p>
      <w:pPr>
        <w:spacing w:after="160"/>
        <w:jc w:val="both"/>
      </w:pPr>
      <w:r>
        <w:rPr>
          <w:rFonts w:ascii="Calibri" w:cs="Calibri" w:eastAsia="Calibri" w:hAnsi="Calibri"/>
          <w:sz w:val="22"/>
          <w:szCs w:val="22"/>
        </w:rPr>
        <w:t xml:space="preserve">Директива ЕС 2024/1799 («Право на ремонт») принята и вступает в силу 31 июля 2026 года. Она обязывает производителей ремонтировать определённый список товаров (стиральные машины, холодильники, экраны, пылесосы, мобильные телефоны, планшеты, сервера) даже после истечения гарантии, а если потребитель выбирает ремонт вместо замены в течение гарантийного срока — гарантия продлевается на 12 месяцев.</w:t>
      </w:r>
    </w:p>
    <w:p>
      <w:pPr>
        <w:spacing w:after="160"/>
        <w:jc w:val="both"/>
      </w:pPr>
      <w:r>
        <w:rPr>
          <w:rFonts w:ascii="Calibri" w:cs="Calibri" w:eastAsia="Calibri" w:hAnsi="Calibri"/>
          <w:sz w:val="22"/>
          <w:szCs w:val="22"/>
        </w:rPr>
        <w:t xml:space="preserve">Это прямое попадание в продукт: фиксация продления гарантии после ремонта — событие, которое сегодня нигде не фиксируется автоматически и которое человек забудет отследить сам. Это конкретный, датированный повод для контента и первой волны пользователей именно сейчас.</w:t>
      </w:r>
    </w:p>
    <w:p>
      <w:pPr>
        <w:pStyle w:val="Heading2"/>
      </w:pPr>
      <w:r>
        <w:t xml:space="preserve">1.4. Digital Product Passport (DPP/ESPR) — использовался в прошлой версии неверно</w:t>
      </w:r>
    </w:p>
    <w:p>
      <w:pPr>
        <w:spacing w:after="160"/>
        <w:jc w:val="both"/>
      </w:pPr>
      <w:r>
        <w:rPr>
          <w:rFonts w:ascii="Calibri" w:cs="Calibri" w:eastAsia="Calibri" w:hAnsi="Calibri"/>
          <w:sz w:val="22"/>
          <w:szCs w:val="22"/>
        </w:rPr>
        <w:t xml:space="preserve">DPP по регламенту ESPR — это паспорт материалов и экологических характеристик продукта (состав, углеродный след, ремонтопригодность), который обязан вести производитель, а не подтверждение покупки или гарантия. Первая обязательная категория — батареи (с 18 февраля 2027 года), электроника ожидается не раньше 2028–2029 года, и у DPP отдельный реестр ЕС (инфраструктура запускается в июле 2026 года). Заявлять «соответствие DPP» в текущем виде продукта неточно — если понадобится связка с DPP в будущем, это отдельный, самостоятельный трек интеграции.</w:t>
      </w:r>
    </w:p>
    <w:p>
      <w:pPr>
        <w:pStyle w:val="Heading2"/>
      </w:pPr>
      <w:r>
        <w:t xml:space="preserve">1.5. Карта фискализации по странам — ключевая находка</w:t>
      </w:r>
    </w:p>
    <w:p>
      <w:pPr>
        <w:spacing w:after="160"/>
        <w:jc w:val="both"/>
      </w:pPr>
      <w:r>
        <w:rPr>
          <w:rFonts w:ascii="Calibri" w:cs="Calibri" w:eastAsia="Calibri" w:hAnsi="Calibri"/>
          <w:sz w:val="22"/>
          <w:szCs w:val="22"/>
        </w:rPr>
        <w:t xml:space="preserve">Фискализация — обязательная криптографическая подпись каждого чека сертифицированной системой — широко распространена в Европе и не является особенностью одной Германии. Ниже — карта того, что это означает для Valuon в каждой юрисдикции.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00"/>
      </w:tblGrid>
      <w:tr>
        <w:trPr>
          <w:tblHeader/>
        </w:trPr>
        <w:tc>
          <w:tcPr>
            <w:tcW w:type="dxa" w:w="2600"/>
            <w:shd w:fill="1F4E5F" w:val="clear"/>
            <w:tcMar>
              <w:top w:type="dxa" w:w="100"/>
              <w:left w:type="dxa" w:w="120"/>
              <w:bottom w:type="dxa" w:w="100"/>
              <w:right w:type="dxa" w:w="120"/>
            </w:tcMar>
          </w:tcPr>
          <w:p>
            <w:r>
              <w:rPr>
                <w:rFonts w:ascii="Calibri" w:cs="Calibri" w:eastAsia="Calibri" w:hAnsi="Calibri"/>
                <w:b/>
                <w:bCs/>
                <w:sz w:val="20"/>
                <w:szCs w:val="20"/>
              </w:rPr>
              <w:t xml:space="preserve">Страна/регион</w:t>
            </w:r>
          </w:p>
        </w:tc>
        <w:tc>
          <w:tcPr>
            <w:tcW w:type="dxa" w:w="3600"/>
            <w:shd w:fill="1F4E5F" w:val="clear"/>
            <w:tcMar>
              <w:top w:type="dxa" w:w="100"/>
              <w:left w:type="dxa" w:w="120"/>
              <w:bottom w:type="dxa" w:w="100"/>
              <w:right w:type="dxa" w:w="120"/>
            </w:tcMar>
          </w:tcPr>
          <w:p>
            <w:r>
              <w:rPr>
                <w:rFonts w:ascii="Calibri" w:cs="Calibri" w:eastAsia="Calibri" w:hAnsi="Calibri"/>
                <w:b/>
                <w:bCs/>
                <w:sz w:val="20"/>
                <w:szCs w:val="20"/>
              </w:rPr>
              <w:t xml:space="preserve">Режим фискализации</w:t>
            </w:r>
          </w:p>
        </w:tc>
        <w:tc>
          <w:tcPr>
            <w:tcW w:type="dxa" w:w="3400"/>
            <w:shd w:fill="1F4E5F" w:val="clear"/>
            <w:tcMar>
              <w:top w:type="dxa" w:w="100"/>
              <w:left w:type="dxa" w:w="120"/>
              <w:bottom w:type="dxa" w:w="100"/>
              <w:right w:type="dxa" w:w="120"/>
            </w:tcMar>
          </w:tcPr>
          <w:p>
            <w:r>
              <w:rPr>
                <w:rFonts w:ascii="Calibri" w:cs="Calibri" w:eastAsia="Calibri" w:hAnsi="Calibri"/>
                <w:b/>
                <w:bCs/>
                <w:sz w:val="20"/>
                <w:szCs w:val="20"/>
              </w:rPr>
              <w:t xml:space="preserve">Что это значит для Valuon</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Германия</w:t>
            </w:r>
          </w:p>
        </w:tc>
        <w:tc>
          <w:tcPr>
            <w:tcW w:type="dxa" w:w="3600"/>
            <w:tcMar>
              <w:top w:type="dxa" w:w="100"/>
              <w:left w:type="dxa" w:w="120"/>
              <w:bottom w:type="dxa" w:w="100"/>
              <w:right w:type="dxa" w:w="120"/>
            </w:tcMar>
          </w:tcPr>
          <w:p>
            <w:r>
              <w:rPr>
                <w:rFonts w:ascii="Calibri" w:cs="Calibri" w:eastAsia="Calibri" w:hAnsi="Calibri"/>
                <w:b w:val="false"/>
                <w:bCs w:val="false"/>
                <w:sz w:val="20"/>
                <w:szCs w:val="20"/>
              </w:rPr>
              <w:t xml:space="preserve">KassenSichV с 2020 г.: обязательный сертифицированный TSE (BSI), подпись каждой транзакции, с 2025 г. — обязательная регистрация касс в налоговой</w:t>
            </w:r>
          </w:p>
        </w:tc>
        <w:tc>
          <w:tcPr>
            <w:tcW w:type="dxa" w:w="3400"/>
            <w:tcMar>
              <w:top w:type="dxa" w:w="100"/>
              <w:left w:type="dxa" w:w="120"/>
              <w:bottom w:type="dxa" w:w="100"/>
              <w:right w:type="dxa" w:w="120"/>
            </w:tcMar>
          </w:tcPr>
          <w:p>
            <w:r>
              <w:rPr>
                <w:rFonts w:ascii="Calibri" w:cs="Calibri" w:eastAsia="Calibri" w:hAnsi="Calibri"/>
                <w:b w:val="false"/>
                <w:bCs w:val="false"/>
                <w:sz w:val="20"/>
                <w:szCs w:val="20"/>
              </w:rPr>
              <w:t xml:space="preserve">Занято: fiskaly, efsta и др. Valuon — только надстройка поверх уже подписанных данных</w:t>
            </w:r>
          </w:p>
        </w:tc>
      </w:tr>
      <w:tr>
        <w:tc>
          <w:tcPr>
            <w:tcW w:type="dxa" w:w="26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Австрия</w:t>
            </w:r>
          </w:p>
        </w:tc>
        <w:tc>
          <w:tcPr>
            <w:tcW w:type="dxa" w:w="36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RKSV с 2016 г.: сертифицированные кассы, цифровая подпись, QR на чеке</w:t>
            </w:r>
          </w:p>
        </w:tc>
        <w:tc>
          <w:tcPr>
            <w:tcW w:type="dxa" w:w="34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То же — надстройка, не замена</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Франция</w:t>
            </w:r>
          </w:p>
        </w:tc>
        <w:tc>
          <w:tcPr>
            <w:tcW w:type="dxa" w:w="3600"/>
            <w:tcMar>
              <w:top w:type="dxa" w:w="100"/>
              <w:left w:type="dxa" w:w="120"/>
              <w:bottom w:type="dxa" w:w="100"/>
              <w:right w:type="dxa" w:w="120"/>
            </w:tcMar>
          </w:tcPr>
          <w:p>
            <w:r>
              <w:rPr>
                <w:rFonts w:ascii="Calibri" w:cs="Calibri" w:eastAsia="Calibri" w:hAnsi="Calibri"/>
                <w:b w:val="false"/>
                <w:bCs w:val="false"/>
                <w:sz w:val="20"/>
                <w:szCs w:val="20"/>
              </w:rPr>
              <w:t xml:space="preserve">Обязательная сертификация ПО касс (НФ525/LNE/InfoCert), самосертификация отменяется с 1 сентября 2026 г.</w:t>
            </w:r>
          </w:p>
        </w:tc>
        <w:tc>
          <w:tcPr>
            <w:tcW w:type="dxa" w:w="3400"/>
            <w:tcMar>
              <w:top w:type="dxa" w:w="100"/>
              <w:left w:type="dxa" w:w="120"/>
              <w:bottom w:type="dxa" w:w="100"/>
              <w:right w:type="dxa" w:w="120"/>
            </w:tcMar>
          </w:tcPr>
          <w:p>
            <w:r>
              <w:rPr>
                <w:rFonts w:ascii="Calibri" w:cs="Calibri" w:eastAsia="Calibri" w:hAnsi="Calibri"/>
                <w:b w:val="false"/>
                <w:bCs w:val="false"/>
                <w:sz w:val="20"/>
                <w:szCs w:val="20"/>
              </w:rPr>
              <w:t xml:space="preserve">Занято; переход на обязательную сертификацию в сентябре 2026 — естественный повод для контента и партнёрских разговоров</w:t>
            </w:r>
          </w:p>
        </w:tc>
      </w:tr>
      <w:tr>
        <w:tc>
          <w:tcPr>
            <w:tcW w:type="dxa" w:w="26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Италия</w:t>
            </w:r>
          </w:p>
        </w:tc>
        <w:tc>
          <w:tcPr>
            <w:tcW w:type="dxa" w:w="36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Исторически аппаратная фискализация (RT), с 2026 г. допускается программная сертификация</w:t>
            </w:r>
          </w:p>
        </w:tc>
        <w:tc>
          <w:tcPr>
            <w:tcW w:type="dxa" w:w="34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Занято, но рынок программной фискализации только открывается — стоит следить</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Испания</w:t>
            </w:r>
          </w:p>
        </w:tc>
        <w:tc>
          <w:tcPr>
            <w:tcW w:type="dxa" w:w="3600"/>
            <w:tcMar>
              <w:top w:type="dxa" w:w="100"/>
              <w:left w:type="dxa" w:w="120"/>
              <w:bottom w:type="dxa" w:w="100"/>
              <w:right w:type="dxa" w:w="120"/>
            </w:tcMar>
          </w:tcPr>
          <w:p>
            <w:r>
              <w:rPr>
                <w:rFonts w:ascii="Calibri" w:cs="Calibri" w:eastAsia="Calibri" w:hAnsi="Calibri"/>
                <w:b w:val="false"/>
                <w:bCs w:val="false"/>
                <w:sz w:val="20"/>
                <w:szCs w:val="20"/>
              </w:rPr>
              <w:t xml:space="preserve">Veri*Factu — поэтапно с января 2026 (крупные компании) и июля 2026 (самозанятые)</w:t>
            </w:r>
          </w:p>
        </w:tc>
        <w:tc>
          <w:tcPr>
            <w:tcW w:type="dxa" w:w="3400"/>
            <w:tcMar>
              <w:top w:type="dxa" w:w="100"/>
              <w:left w:type="dxa" w:w="120"/>
              <w:bottom w:type="dxa" w:w="100"/>
              <w:right w:type="dxa" w:w="120"/>
            </w:tcMar>
          </w:tcPr>
          <w:p>
            <w:r>
              <w:rPr>
                <w:rFonts w:ascii="Calibri" w:cs="Calibri" w:eastAsia="Calibri" w:hAnsi="Calibri"/>
                <w:b w:val="false"/>
                <w:bCs w:val="false"/>
                <w:sz w:val="20"/>
                <w:szCs w:val="20"/>
              </w:rPr>
              <w:t xml:space="preserve">Занято, недавно введено — хорошее время для партнёрства с уже сертифицированными провайдерами</w:t>
            </w:r>
          </w:p>
        </w:tc>
      </w:tr>
      <w:tr>
        <w:tc>
          <w:tcPr>
            <w:tcW w:type="dxa" w:w="26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Португалия, Польша, Словения, Хорватия, Бельгия (HoReCa)</w:t>
            </w:r>
          </w:p>
        </w:tc>
        <w:tc>
          <w:tcPr>
            <w:tcW w:type="dxa" w:w="36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Обязательная сертификация ПО/устройств в разных формах</w:t>
            </w:r>
          </w:p>
        </w:tc>
        <w:tc>
          <w:tcPr>
            <w:tcW w:type="dxa" w:w="34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Занято по каждой стране отдельно — фрагментированный рынок</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Эстония</w:t>
            </w:r>
          </w:p>
        </w:tc>
        <w:tc>
          <w:tcPr>
            <w:tcW w:type="dxa" w:w="3600"/>
            <w:tcMar>
              <w:top w:type="dxa" w:w="100"/>
              <w:left w:type="dxa" w:w="120"/>
              <w:bottom w:type="dxa" w:w="100"/>
              <w:right w:type="dxa" w:w="120"/>
            </w:tcMar>
          </w:tcPr>
          <w:p>
            <w:r>
              <w:rPr>
                <w:rFonts w:ascii="Calibri" w:cs="Calibri" w:eastAsia="Calibri" w:hAnsi="Calibri"/>
                <w:b w:val="false"/>
                <w:bCs w:val="false"/>
                <w:sz w:val="20"/>
                <w:szCs w:val="20"/>
              </w:rPr>
              <w:t xml:space="preserve">Обязательной фискализации чеков нет</w:t>
            </w:r>
          </w:p>
        </w:tc>
        <w:tc>
          <w:tcPr>
            <w:tcW w:type="dxa" w:w="3400"/>
            <w:tcMar>
              <w:top w:type="dxa" w:w="100"/>
              <w:left w:type="dxa" w:w="120"/>
              <w:bottom w:type="dxa" w:w="100"/>
              <w:right w:type="dxa" w:w="120"/>
            </w:tcMar>
          </w:tcPr>
          <w:p>
            <w:r>
              <w:rPr>
                <w:rFonts w:ascii="Calibri" w:cs="Calibri" w:eastAsia="Calibri" w:hAnsi="Calibri"/>
                <w:b w:val="false"/>
                <w:bCs w:val="false"/>
                <w:sz w:val="20"/>
                <w:szCs w:val="20"/>
              </w:rPr>
              <w:t xml:space="preserve">Свободно — можно быть первичным эмитентом официального чека</w:t>
            </w:r>
          </w:p>
        </w:tc>
      </w:tr>
      <w:tr>
        <w:tc>
          <w:tcPr>
            <w:tcW w:type="dxa" w:w="26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Ирландия, Мальта, Финляндия, Лихтенштейн</w:t>
            </w:r>
          </w:p>
        </w:tc>
        <w:tc>
          <w:tcPr>
            <w:tcW w:type="dxa" w:w="36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Обязательной фискализации чеков нет</w:t>
            </w:r>
          </w:p>
        </w:tc>
        <w:tc>
          <w:tcPr>
            <w:tcW w:type="dxa" w:w="34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Свободно — потенциал для расширения Роли А после Эстонии</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США</w:t>
            </w:r>
          </w:p>
        </w:tc>
        <w:tc>
          <w:tcPr>
            <w:tcW w:type="dxa" w:w="3600"/>
            <w:tcMar>
              <w:top w:type="dxa" w:w="100"/>
              <w:left w:type="dxa" w:w="120"/>
              <w:bottom w:type="dxa" w:w="100"/>
              <w:right w:type="dxa" w:w="120"/>
            </w:tcMar>
          </w:tcPr>
          <w:p>
            <w:r>
              <w:rPr>
                <w:rFonts w:ascii="Calibri" w:cs="Calibri" w:eastAsia="Calibri" w:hAnsi="Calibri"/>
                <w:b w:val="false"/>
                <w:bCs w:val="false"/>
                <w:sz w:val="20"/>
                <w:szCs w:val="20"/>
              </w:rPr>
              <w:t xml:space="preserve">Нет федерального требования даже просто выдавать чек за покупку; регулирование на уровне штатов, без криптографической подписи</w:t>
            </w:r>
          </w:p>
        </w:tc>
        <w:tc>
          <w:tcPr>
            <w:tcW w:type="dxa" w:w="3400"/>
            <w:tcMar>
              <w:top w:type="dxa" w:w="100"/>
              <w:left w:type="dxa" w:w="120"/>
              <w:bottom w:type="dxa" w:w="100"/>
              <w:right w:type="dxa" w:w="120"/>
            </w:tcMar>
          </w:tcPr>
          <w:p>
            <w:r>
              <w:rPr>
                <w:rFonts w:ascii="Calibri" w:cs="Calibri" w:eastAsia="Calibri" w:hAnsi="Calibri"/>
                <w:b w:val="false"/>
                <w:bCs w:val="false"/>
                <w:sz w:val="20"/>
                <w:szCs w:val="20"/>
              </w:rPr>
              <w:t xml:space="preserve">Максимально свободно — самое широкое поле для роли первичного эмитента</w:t>
            </w:r>
          </w:p>
        </w:tc>
      </w:tr>
    </w:tbl>
    <w:p>
      <w:pPr>
        <w:spacing w:after="200"/>
      </w:pPr>
      <w:r>
        <w:rPr>
          <w:rFonts w:ascii="Calibri" w:cs="Calibri" w:eastAsia="Calibri" w:hAnsi="Calibri"/>
          <w:i/>
          <w:iCs/>
          <w:color w:val="555555"/>
          <w:sz w:val="19"/>
          <w:szCs w:val="19"/>
        </w:rPr>
        <w:t xml:space="preserve">Источники: efsta.eu, fiskaly.com, dddinvoices.com, smeetz.com, lawpath.com (актуально на июль 2026 г. — по каждой стране рекомендуется точечная юридическая проверка перед запуском B2B в ней).</w:t>
      </w:r>
    </w:p>
    <w:p>
      <w:pPr>
        <w:pStyle w:val="Heading2"/>
      </w:pPr>
      <w:r>
        <w:t xml:space="preserve">1.6. Конкурентная среда — два принципиально разных слоя</w:t>
      </w:r>
    </w:p>
    <w:p>
      <w:pPr>
        <w:spacing w:after="160"/>
        <w:jc w:val="both"/>
      </w:pPr>
      <w:r>
        <w:rPr>
          <w:rFonts w:ascii="Calibri" w:cs="Calibri" w:eastAsia="Calibri" w:hAnsi="Calibri"/>
          <w:sz w:val="22"/>
          <w:szCs w:val="22"/>
        </w:rPr>
        <w:t xml:space="preserve">Важно не путать двух разных конкурентов, потому что стратегия ответа на них противоположная.</w:t>
      </w:r>
    </w:p>
    <w:p>
      <w:pPr>
        <w:spacing w:after="100" w:before="200"/>
      </w:pPr>
      <w:r>
        <w:rPr>
          <w:rFonts w:ascii="Calibri" w:cs="Calibri" w:eastAsia="Calibri" w:hAnsi="Calibri"/>
          <w:b/>
          <w:bCs/>
          <w:i/>
          <w:iCs/>
          <w:color w:val="35707F"/>
          <w:sz w:val="23"/>
          <w:szCs w:val="23"/>
        </w:rPr>
        <w:t xml:space="preserve">Слой 1 — трекеры гарантий и чеков (низкий барьер входа)</w:t>
      </w:r>
    </w:p>
    <w:p>
      <w:pPr>
        <w:spacing w:after="160"/>
        <w:jc w:val="both"/>
      </w:pPr>
      <w:r>
        <w:rPr>
          <w:rFonts w:ascii="Calibri" w:cs="Calibri" w:eastAsia="Calibri" w:hAnsi="Calibri"/>
          <w:sz w:val="22"/>
          <w:szCs w:val="22"/>
        </w:rPr>
        <w:t xml:space="preserve">Sortly, Warranty Keeper, Zither, Keep Warranty, Chambu, MrReceipt, Vorby и другие — большинство бесплатны или стоят $5–7/мес, у всех схожий набор функций (OCR, напоминания об истечении гарантии, облачное хранение). Ни одно из этих приложений не стало отраслевым стандартом верификации для продавцов. Это означает, что «ещё один трекер, но лучше» вряд ли создаст сетевой эффект сам по себе — дифференциация должна быть в статусе чека (официальный/verified) и в связке с гарантией, а не в качестве самого трекинга.</w:t>
      </w:r>
    </w:p>
    <w:p>
      <w:pPr>
        <w:spacing w:after="100" w:before="200"/>
      </w:pPr>
      <w:r>
        <w:rPr>
          <w:rFonts w:ascii="Calibri" w:cs="Calibri" w:eastAsia="Calibri" w:hAnsi="Calibri"/>
          <w:b/>
          <w:bCs/>
          <w:i/>
          <w:iCs/>
          <w:color w:val="35707F"/>
          <w:sz w:val="23"/>
          <w:szCs w:val="23"/>
        </w:rPr>
        <w:t xml:space="preserve">Слой 2 — сертифицированные фискальные провайдеры (высокий барьер входа)</w:t>
      </w:r>
    </w:p>
    <w:p>
      <w:pPr>
        <w:spacing w:after="160"/>
        <w:jc w:val="both"/>
      </w:pPr>
      <w:r>
        <w:rPr>
          <w:rFonts w:ascii="Calibri" w:cs="Calibri" w:eastAsia="Calibri" w:hAnsi="Calibri"/>
          <w:sz w:val="22"/>
          <w:szCs w:val="22"/>
        </w:rPr>
        <w:t xml:space="preserve">fiskaly и efsta — это не стартапы-конкуренты, а инфраструктурные игроки с более чем миллионом подключённых касс по Европе и прямыми отношениями с налоговыми органами каждой отдельной страны. С ними бессмысленно конкурировать в подписи чека в фискализированных странах на нынешнем этапе — но с ними стоит стремиться интегрироваться как с источником данных для Роли Б (см. раздел 2).</w:t>
      </w:r>
    </w:p>
    <w:p>
      <w:r>
        <w:br w:type="page"/>
      </w:r>
    </w:p>
    <w:p>
      <w:pPr>
        <w:pStyle w:val="Heading1"/>
      </w:pPr>
      <w:r>
        <w:t xml:space="preserve">2. Стратегическое ядро: две роли Valuon</w:t>
      </w:r>
    </w:p>
    <w:p>
      <w:pPr>
        <w:spacing w:after="160"/>
        <w:jc w:val="both"/>
      </w:pPr>
      <w:r>
        <w:rPr>
          <w:rFonts w:ascii="Calibri" w:cs="Calibri" w:eastAsia="Calibri" w:hAnsi="Calibri"/>
          <w:sz w:val="22"/>
          <w:szCs w:val="22"/>
        </w:rPr>
        <w:t xml:space="preserve">Единая платформа официальных чеков реально достижима не как единый механизм подписи, а как единая точка доступа поверх разных национальных систем — так же, как агрегаторы банковских данных не являются банками, но дают единый доступ поверх множества разных банков.</w:t>
      </w:r>
    </w:p>
    <w:p>
      <w:pPr>
        <w:pStyle w:val="Heading2"/>
      </w:pPr>
      <w:r>
        <w:t xml:space="preserve">Роль А — первичный эмитент официального чека</w:t>
      </w:r>
    </w:p>
    <w:p>
      <w:pPr>
        <w:spacing w:after="160"/>
        <w:jc w:val="both"/>
      </w:pPr>
      <w:r>
        <w:rPr>
          <w:rFonts w:ascii="Calibri" w:cs="Calibri" w:eastAsia="Calibri" w:hAnsi="Calibri"/>
          <w:sz w:val="22"/>
          <w:szCs w:val="22"/>
        </w:rPr>
        <w:t xml:space="preserve">Там, где государство не навязывает свой формат (Эстония, Ирландия, Мальта, Финляндия, Лихтенштейн, США), чек Valuon может по-настоящему быть единственным официальным цифровым подтверждением покупки — не альтернатива государственному стандарту, а первая цифровая система там, где раньше был только бумажный чек или ничего. Здесь реальная криптографическая подпись — это не имитация государственной фискализации, а самостоятельная гарантия целостности, которую сегодня не даёт никто в этом сегменте малого бизнеса.</w:t>
      </w:r>
    </w:p>
    <w:p>
      <w:pPr>
        <w:pStyle w:val="Heading2"/>
      </w:pPr>
      <w:r>
        <w:t xml:space="preserve">Роль Б — реестр/кошелёк уже официальных чеков</w:t>
      </w:r>
    </w:p>
    <w:p>
      <w:pPr>
        <w:spacing w:after="160"/>
        <w:jc w:val="both"/>
      </w:pPr>
      <w:r>
        <w:rPr>
          <w:rFonts w:ascii="Calibri" w:cs="Calibri" w:eastAsia="Calibri" w:hAnsi="Calibri"/>
          <w:sz w:val="22"/>
          <w:szCs w:val="22"/>
        </w:rPr>
        <w:t xml:space="preserve">Там, где фискализация уже обязательна, государственно признанный чек уже существует и его выпускает сертифицированная касса. Valuon не пытается стать этим чеком, а подключается через API кассы/POS-провайдера, забирает уже подписанный государством чек и даёт ему вторую жизнь у покупателя: единое место, кросс-магазинный поиск, связка с гарантией и правом на ремонт — то, чего не даёт сама фискальная система.</w:t>
      </w:r>
    </w:p>
    <w:p>
      <w:pPr>
        <w:pStyle w:val="Heading2"/>
      </w:pPr>
      <w:r>
        <w:t xml:space="preserve">Роль В (отложенная) — собственная сертификация фискального провайдера</w:t>
      </w:r>
    </w:p>
    <w:p>
      <w:pPr>
        <w:spacing w:after="160"/>
        <w:jc w:val="both"/>
      </w:pPr>
      <w:r>
        <w:rPr>
          <w:rFonts w:ascii="Calibri" w:cs="Calibri" w:eastAsia="Calibri" w:hAnsi="Calibri"/>
          <w:sz w:val="22"/>
          <w:szCs w:val="22"/>
        </w:rPr>
        <w:t xml:space="preserve">В будущем, при подтверждённом масштабе и финансировании, можно рассмотреть путь fiskaly/efsta — стать сертифицированным техническим посредником в одной конкретной стране. Это отдельный, дорогой, многолетний регуляторный проект, требующий выделенной юридической команды и капитала. Разумно держать это в поле зрения как решение на 2028+ год.</w:t>
      </w:r>
    </w:p>
    <w:p>
      <w:pPr>
        <w:pStyle w:val="Heading2"/>
      </w:pPr>
      <w:r>
        <w:t xml:space="preserve">Гарантии, история владения и перепродажа — надстройка</w:t>
      </w:r>
    </w:p>
    <w:p>
      <w:pPr>
        <w:spacing w:after="160"/>
        <w:jc w:val="both"/>
      </w:pPr>
      <w:r>
        <w:rPr>
          <w:rFonts w:ascii="Calibri" w:cs="Calibri" w:eastAsia="Calibri" w:hAnsi="Calibri"/>
          <w:sz w:val="22"/>
          <w:szCs w:val="22"/>
        </w:rPr>
        <w:t xml:space="preserve">Эта функциональность — то, что делает чековый реестр ощутимо полезным в повседневной жизни (иначе он рискует быть low-frequency use case, который открывают раз в год). Но она не самоцель: продление гарантии по праву на ремонт, проверяемая история при перепродаже — это слой поверх ядра «единый официальный чек», который делает возврат в приложение осмысленным, а не источник дохода сам по себе на данном этапе.</w:t>
      </w:r>
    </w:p>
    <w:p>
      <w:r>
        <w:br w:type="page"/>
      </w:r>
    </w:p>
    <w:p>
      <w:pPr>
        <w:pStyle w:val="Heading1"/>
      </w:pPr>
      <w:r>
        <w:t xml:space="preserve">3. Ценностное предложение</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300"/>
      </w:tblGrid>
      <w:tr>
        <w:trPr>
          <w:tblHeader/>
        </w:trPr>
        <w:tc>
          <w:tcPr>
            <w:tcW w:type="dxa" w:w="3000"/>
            <w:shd w:fill="1F4E5F" w:val="clear"/>
            <w:tcMar>
              <w:top w:type="dxa" w:w="100"/>
              <w:left w:type="dxa" w:w="120"/>
              <w:bottom w:type="dxa" w:w="100"/>
              <w:right w:type="dxa" w:w="120"/>
            </w:tcMar>
          </w:tcPr>
          <w:p>
            <w:r>
              <w:rPr>
                <w:rFonts w:ascii="Calibri" w:cs="Calibri" w:eastAsia="Calibri" w:hAnsi="Calibri"/>
                <w:b/>
                <w:bCs/>
                <w:sz w:val="20"/>
                <w:szCs w:val="20"/>
              </w:rPr>
              <w:t xml:space="preserve">Кто</w:t>
            </w:r>
          </w:p>
        </w:tc>
        <w:tc>
          <w:tcPr>
            <w:tcW w:type="dxa" w:w="3400"/>
            <w:shd w:fill="1F4E5F" w:val="clear"/>
            <w:tcMar>
              <w:top w:type="dxa" w:w="100"/>
              <w:left w:type="dxa" w:w="120"/>
              <w:bottom w:type="dxa" w:w="100"/>
              <w:right w:type="dxa" w:w="120"/>
            </w:tcMar>
          </w:tcPr>
          <w:p>
            <w:r>
              <w:rPr>
                <w:rFonts w:ascii="Calibri" w:cs="Calibri" w:eastAsia="Calibri" w:hAnsi="Calibri"/>
                <w:b/>
                <w:bCs/>
                <w:sz w:val="20"/>
                <w:szCs w:val="20"/>
              </w:rPr>
              <w:t xml:space="preserve">Роль Valuon</w:t>
            </w:r>
          </w:p>
        </w:tc>
        <w:tc>
          <w:tcPr>
            <w:tcW w:type="dxa" w:w="3300"/>
            <w:shd w:fill="1F4E5F" w:val="clear"/>
            <w:tcMar>
              <w:top w:type="dxa" w:w="100"/>
              <w:left w:type="dxa" w:w="120"/>
              <w:bottom w:type="dxa" w:w="100"/>
              <w:right w:type="dxa" w:w="120"/>
            </w:tcMar>
          </w:tcPr>
          <w:p>
            <w:r>
              <w:rPr>
                <w:rFonts w:ascii="Calibri" w:cs="Calibri" w:eastAsia="Calibri" w:hAnsi="Calibri"/>
                <w:b/>
                <w:bCs/>
                <w:sz w:val="20"/>
                <w:szCs w:val="20"/>
              </w:rPr>
              <w:t xml:space="preserve">Что получает</w:t>
            </w:r>
          </w:p>
        </w:tc>
      </w:tr>
      <w:tr>
        <w:tc>
          <w:tcPr>
            <w:tcW w:type="dxa" w:w="3000"/>
            <w:tcMar>
              <w:top w:type="dxa" w:w="100"/>
              <w:left w:type="dxa" w:w="120"/>
              <w:bottom w:type="dxa" w:w="100"/>
              <w:right w:type="dxa" w:w="120"/>
            </w:tcMar>
          </w:tcPr>
          <w:p>
            <w:r>
              <w:rPr>
                <w:rFonts w:ascii="Calibri" w:cs="Calibri" w:eastAsia="Calibri" w:hAnsi="Calibri"/>
                <w:b w:val="false"/>
                <w:bCs w:val="false"/>
                <w:sz w:val="20"/>
                <w:szCs w:val="20"/>
              </w:rPr>
              <w:t xml:space="preserve">Покупатель в Эстонии / Ирландии / США и т.п.</w:t>
            </w:r>
          </w:p>
        </w:tc>
        <w:tc>
          <w:tcPr>
            <w:tcW w:type="dxa" w:w="3400"/>
            <w:tcMar>
              <w:top w:type="dxa" w:w="100"/>
              <w:left w:type="dxa" w:w="120"/>
              <w:bottom w:type="dxa" w:w="100"/>
              <w:right w:type="dxa" w:w="120"/>
            </w:tcMar>
          </w:tcPr>
          <w:p>
            <w:r>
              <w:rPr>
                <w:rFonts w:ascii="Calibri" w:cs="Calibri" w:eastAsia="Calibri" w:hAnsi="Calibri"/>
                <w:b w:val="false"/>
                <w:bCs w:val="false"/>
                <w:sz w:val="20"/>
                <w:szCs w:val="20"/>
              </w:rPr>
              <w:t xml:space="preserve">Роль А — первичный эмитент</w:t>
            </w:r>
          </w:p>
        </w:tc>
        <w:tc>
          <w:tcPr>
            <w:tcW w:type="dxa" w:w="3300"/>
            <w:tcMar>
              <w:top w:type="dxa" w:w="100"/>
              <w:left w:type="dxa" w:w="120"/>
              <w:bottom w:type="dxa" w:w="100"/>
              <w:right w:type="dxa" w:w="120"/>
            </w:tcMar>
          </w:tcPr>
          <w:p>
            <w:r>
              <w:rPr>
                <w:rFonts w:ascii="Calibri" w:cs="Calibri" w:eastAsia="Calibri" w:hAnsi="Calibri"/>
                <w:b w:val="false"/>
                <w:bCs w:val="false"/>
                <w:sz w:val="20"/>
                <w:szCs w:val="20"/>
              </w:rPr>
              <w:t xml:space="preserve">Первый в жизни настоящий цифровой чек с криптографической подписью вместо бумажки или вообще ничего</w:t>
            </w:r>
          </w:p>
        </w:tc>
      </w:tr>
      <w:tr>
        <w:tc>
          <w:tcPr>
            <w:tcW w:type="dxa" w:w="30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Покупатель в Германии / Франции / Италии и т.п.</w:t>
            </w:r>
          </w:p>
        </w:tc>
        <w:tc>
          <w:tcPr>
            <w:tcW w:type="dxa" w:w="34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Роль Б — реестр уже официального чека</w:t>
            </w:r>
          </w:p>
        </w:tc>
        <w:tc>
          <w:tcPr>
            <w:tcW w:type="dxa" w:w="33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Единое место, где чек из любого магазина в любой стране находится, не теряется и связан с гарантией</w:t>
            </w:r>
          </w:p>
        </w:tc>
      </w:tr>
      <w:tr>
        <w:tc>
          <w:tcPr>
            <w:tcW w:type="dxa" w:w="3000"/>
            <w:tcMar>
              <w:top w:type="dxa" w:w="100"/>
              <w:left w:type="dxa" w:w="120"/>
              <w:bottom w:type="dxa" w:w="100"/>
              <w:right w:type="dxa" w:w="120"/>
            </w:tcMar>
          </w:tcPr>
          <w:p>
            <w:r>
              <w:rPr>
                <w:rFonts w:ascii="Calibri" w:cs="Calibri" w:eastAsia="Calibri" w:hAnsi="Calibri"/>
                <w:b w:val="false"/>
                <w:bCs w:val="false"/>
                <w:sz w:val="20"/>
                <w:szCs w:val="20"/>
              </w:rPr>
              <w:t xml:space="preserve">Любой пользователь</w:t>
            </w:r>
          </w:p>
        </w:tc>
        <w:tc>
          <w:tcPr>
            <w:tcW w:type="dxa" w:w="3400"/>
            <w:tcMar>
              <w:top w:type="dxa" w:w="100"/>
              <w:left w:type="dxa" w:w="120"/>
              <w:bottom w:type="dxa" w:w="100"/>
              <w:right w:type="dxa" w:w="120"/>
            </w:tcMar>
          </w:tcPr>
          <w:p>
            <w:r>
              <w:rPr>
                <w:rFonts w:ascii="Calibri" w:cs="Calibri" w:eastAsia="Calibri" w:hAnsi="Calibri"/>
                <w:b w:val="false"/>
                <w:bCs w:val="false"/>
                <w:sz w:val="20"/>
                <w:szCs w:val="20"/>
              </w:rPr>
              <w:t xml:space="preserve">Надстройка</w:t>
            </w:r>
          </w:p>
        </w:tc>
        <w:tc>
          <w:tcPr>
            <w:tcW w:type="dxa" w:w="3300"/>
            <w:tcMar>
              <w:top w:type="dxa" w:w="100"/>
              <w:left w:type="dxa" w:w="120"/>
              <w:bottom w:type="dxa" w:w="100"/>
              <w:right w:type="dxa" w:w="120"/>
            </w:tcMar>
          </w:tcPr>
          <w:p>
            <w:r>
              <w:rPr>
                <w:rFonts w:ascii="Calibri" w:cs="Calibri" w:eastAsia="Calibri" w:hAnsi="Calibri"/>
                <w:b w:val="false"/>
                <w:bCs w:val="false"/>
                <w:sz w:val="20"/>
                <w:szCs w:val="20"/>
              </w:rPr>
              <w:t xml:space="preserve">Автоматическая фиксация гарантии и её продления по праву на ремонт, проверяемая история владения при перепродаже</w:t>
            </w:r>
          </w:p>
        </w:tc>
      </w:tr>
      <w:tr>
        <w:tc>
          <w:tcPr>
            <w:tcW w:type="dxa" w:w="30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Малый продавец без своей кассовой системы (Роль А рынки)</w:t>
            </w:r>
          </w:p>
        </w:tc>
        <w:tc>
          <w:tcPr>
            <w:tcW w:type="dxa" w:w="34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Готовая цифровая система чеков</w:t>
            </w:r>
          </w:p>
        </w:tc>
        <w:tc>
          <w:tcPr>
            <w:tcW w:type="dxa" w:w="33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Не нужно разрабатывать или покупать отдельную систему учёта продаж</w:t>
            </w:r>
          </w:p>
        </w:tc>
      </w:tr>
      <w:tr>
        <w:tc>
          <w:tcPr>
            <w:tcW w:type="dxa" w:w="3000"/>
            <w:tcMar>
              <w:top w:type="dxa" w:w="100"/>
              <w:left w:type="dxa" w:w="120"/>
              <w:bottom w:type="dxa" w:w="100"/>
              <w:right w:type="dxa" w:w="120"/>
            </w:tcMar>
          </w:tcPr>
          <w:p>
            <w:r>
              <w:rPr>
                <w:rFonts w:ascii="Calibri" w:cs="Calibri" w:eastAsia="Calibri" w:hAnsi="Calibri"/>
                <w:b w:val="false"/>
                <w:bCs w:val="false"/>
                <w:sz w:val="20"/>
                <w:szCs w:val="20"/>
              </w:rPr>
              <w:t xml:space="preserve">Продавец в фискализированной стране (Роль Б рынки)</w:t>
            </w:r>
          </w:p>
        </w:tc>
        <w:tc>
          <w:tcPr>
            <w:tcW w:type="dxa" w:w="3400"/>
            <w:tcMar>
              <w:top w:type="dxa" w:w="100"/>
              <w:left w:type="dxa" w:w="120"/>
              <w:bottom w:type="dxa" w:w="100"/>
              <w:right w:type="dxa" w:w="120"/>
            </w:tcMar>
          </w:tcPr>
          <w:p>
            <w:r>
              <w:rPr>
                <w:rFonts w:ascii="Calibri" w:cs="Calibri" w:eastAsia="Calibri" w:hAnsi="Calibri"/>
                <w:b w:val="false"/>
                <w:bCs w:val="false"/>
                <w:sz w:val="20"/>
                <w:szCs w:val="20"/>
              </w:rPr>
              <w:t xml:space="preserve">Надстройка над уже обязательной системой</w:t>
            </w:r>
          </w:p>
        </w:tc>
        <w:tc>
          <w:tcPr>
            <w:tcW w:type="dxa" w:w="3300"/>
            <w:tcMar>
              <w:top w:type="dxa" w:w="100"/>
              <w:left w:type="dxa" w:w="120"/>
              <w:bottom w:type="dxa" w:w="100"/>
              <w:right w:type="dxa" w:w="120"/>
            </w:tcMar>
          </w:tcPr>
          <w:p>
            <w:r>
              <w:rPr>
                <w:rFonts w:ascii="Calibri" w:cs="Calibri" w:eastAsia="Calibri" w:hAnsi="Calibri"/>
                <w:b w:val="false"/>
                <w:bCs w:val="false"/>
                <w:sz w:val="20"/>
                <w:szCs w:val="20"/>
              </w:rPr>
              <w:t xml:space="preserve">Меньше споров с клиентами по поводу даты покупки/гарантии, готовый цифровой гарантийный талон без доп. разработки</w:t>
            </w:r>
          </w:p>
        </w:tc>
      </w:tr>
    </w:tbl>
    <w:p>
      <w:r>
        <w:br w:type="page"/>
      </w:r>
    </w:p>
    <w:p>
      <w:pPr>
        <w:pStyle w:val="Heading1"/>
      </w:pPr>
      <w:r>
        <w:t xml:space="preserve">4. Бизнес-модель</w:t>
      </w:r>
    </w:p>
    <w:p>
      <w:pPr>
        <w:spacing w:after="160"/>
        <w:jc w:val="both"/>
      </w:pPr>
      <w:r>
        <w:rPr>
          <w:rFonts w:ascii="Calibri" w:cs="Calibri" w:eastAsia="Calibri" w:hAnsi="Calibri"/>
          <w:sz w:val="22"/>
          <w:szCs w:val="22"/>
        </w:rPr>
        <w:t xml:space="preserve">Монетизация построена отдельно под каждую роль — смешивать их в одном тарифе преждевременно, пока не подтверждена ценность каждой по отдельности.</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1400"/>
        <w:gridCol w:w="2100"/>
        <w:gridCol w:w="2000"/>
      </w:tblGrid>
      <w:tr>
        <w:trPr>
          <w:tblHeader/>
        </w:trPr>
        <w:tc>
          <w:tcPr>
            <w:tcW w:type="dxa" w:w="2100"/>
            <w:shd w:fill="1F4E5F" w:val="clear"/>
            <w:tcMar>
              <w:top w:type="dxa" w:w="100"/>
              <w:left w:type="dxa" w:w="120"/>
              <w:bottom w:type="dxa" w:w="100"/>
              <w:right w:type="dxa" w:w="120"/>
            </w:tcMar>
          </w:tcPr>
          <w:p>
            <w:r>
              <w:rPr>
                <w:rFonts w:ascii="Calibri" w:cs="Calibri" w:eastAsia="Calibri" w:hAnsi="Calibri"/>
                <w:b/>
                <w:bCs/>
                <w:sz w:val="20"/>
                <w:szCs w:val="20"/>
              </w:rPr>
              <w:t xml:space="preserve">Тариф</w:t>
            </w:r>
          </w:p>
        </w:tc>
        <w:tc>
          <w:tcPr>
            <w:tcW w:type="dxa" w:w="2400"/>
            <w:shd w:fill="1F4E5F" w:val="clear"/>
            <w:tcMar>
              <w:top w:type="dxa" w:w="100"/>
              <w:left w:type="dxa" w:w="120"/>
              <w:bottom w:type="dxa" w:w="100"/>
              <w:right w:type="dxa" w:w="120"/>
            </w:tcMar>
          </w:tcPr>
          <w:p>
            <w:r>
              <w:rPr>
                <w:rFonts w:ascii="Calibri" w:cs="Calibri" w:eastAsia="Calibri" w:hAnsi="Calibri"/>
                <w:b/>
                <w:bCs/>
                <w:sz w:val="20"/>
                <w:szCs w:val="20"/>
              </w:rPr>
              <w:t xml:space="preserve">Роль/рынок</w:t>
            </w:r>
          </w:p>
        </w:tc>
        <w:tc>
          <w:tcPr>
            <w:tcW w:type="dxa" w:w="1400"/>
            <w:shd w:fill="1F4E5F" w:val="clear"/>
            <w:tcMar>
              <w:top w:type="dxa" w:w="100"/>
              <w:left w:type="dxa" w:w="120"/>
              <w:bottom w:type="dxa" w:w="100"/>
              <w:right w:type="dxa" w:w="120"/>
            </w:tcMar>
          </w:tcPr>
          <w:p>
            <w:r>
              <w:rPr>
                <w:rFonts w:ascii="Calibri" w:cs="Calibri" w:eastAsia="Calibri" w:hAnsi="Calibri"/>
                <w:b/>
                <w:bCs/>
                <w:sz w:val="20"/>
                <w:szCs w:val="20"/>
              </w:rPr>
              <w:t xml:space="preserve">Цена</w:t>
            </w:r>
          </w:p>
        </w:tc>
        <w:tc>
          <w:tcPr>
            <w:tcW w:type="dxa" w:w="2100"/>
            <w:shd w:fill="1F4E5F" w:val="clear"/>
            <w:tcMar>
              <w:top w:type="dxa" w:w="100"/>
              <w:left w:type="dxa" w:w="120"/>
              <w:bottom w:type="dxa" w:w="100"/>
              <w:right w:type="dxa" w:w="120"/>
            </w:tcMar>
          </w:tcPr>
          <w:p>
            <w:r>
              <w:rPr>
                <w:rFonts w:ascii="Calibri" w:cs="Calibri" w:eastAsia="Calibri" w:hAnsi="Calibri"/>
                <w:b/>
                <w:bCs/>
                <w:sz w:val="20"/>
                <w:szCs w:val="20"/>
              </w:rPr>
              <w:t xml:space="preserve">Что входит</w:t>
            </w:r>
          </w:p>
        </w:tc>
        <w:tc>
          <w:tcPr>
            <w:tcW w:type="dxa" w:w="2000"/>
            <w:shd w:fill="1F4E5F" w:val="clear"/>
            <w:tcMar>
              <w:top w:type="dxa" w:w="100"/>
              <w:left w:type="dxa" w:w="120"/>
              <w:bottom w:type="dxa" w:w="100"/>
              <w:right w:type="dxa" w:w="120"/>
            </w:tcMar>
          </w:tcPr>
          <w:p>
            <w:r>
              <w:rPr>
                <w:rFonts w:ascii="Calibri" w:cs="Calibri" w:eastAsia="Calibri" w:hAnsi="Calibri"/>
                <w:b/>
                <w:bCs/>
                <w:sz w:val="20"/>
                <w:szCs w:val="20"/>
              </w:rPr>
              <w:t xml:space="preserve">Когда включать</w:t>
            </w:r>
          </w:p>
        </w:tc>
      </w:tr>
      <w:tr>
        <w:tc>
          <w:tcPr>
            <w:tcW w:type="dxa" w:w="2100"/>
            <w:tcMar>
              <w:top w:type="dxa" w:w="100"/>
              <w:left w:type="dxa" w:w="120"/>
              <w:bottom w:type="dxa" w:w="100"/>
              <w:right w:type="dxa" w:w="120"/>
            </w:tcMar>
          </w:tcPr>
          <w:p>
            <w:r>
              <w:rPr>
                <w:rFonts w:ascii="Calibri" w:cs="Calibri" w:eastAsia="Calibri" w:hAnsi="Calibri"/>
                <w:b w:val="false"/>
                <w:bCs w:val="false"/>
                <w:sz w:val="20"/>
                <w:szCs w:val="20"/>
              </w:rPr>
              <w:t xml:space="preserve">Consumer Free</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Любой</w:t>
            </w:r>
          </w:p>
        </w:tc>
        <w:tc>
          <w:tcPr>
            <w:tcW w:type="dxa" w:w="1400"/>
            <w:tcMar>
              <w:top w:type="dxa" w:w="100"/>
              <w:left w:type="dxa" w:w="120"/>
              <w:bottom w:type="dxa" w:w="100"/>
              <w:right w:type="dxa" w:w="120"/>
            </w:tcMar>
          </w:tcPr>
          <w:p>
            <w:r>
              <w:rPr>
                <w:rFonts w:ascii="Calibri" w:cs="Calibri" w:eastAsia="Calibri" w:hAnsi="Calibri"/>
                <w:b w:val="false"/>
                <w:bCs w:val="false"/>
                <w:sz w:val="20"/>
                <w:szCs w:val="20"/>
              </w:rPr>
              <w:t xml:space="preserve">$0</w:t>
            </w:r>
          </w:p>
        </w:tc>
        <w:tc>
          <w:tcPr>
            <w:tcW w:type="dxa" w:w="2100"/>
            <w:tcMar>
              <w:top w:type="dxa" w:w="100"/>
              <w:left w:type="dxa" w:w="120"/>
              <w:bottom w:type="dxa" w:w="100"/>
              <w:right w:type="dxa" w:w="120"/>
            </w:tcMar>
          </w:tcPr>
          <w:p>
            <w:r>
              <w:rPr>
                <w:rFonts w:ascii="Calibri" w:cs="Calibri" w:eastAsia="Calibri" w:hAnsi="Calibri"/>
                <w:b w:val="false"/>
                <w:bCs w:val="false"/>
                <w:sz w:val="20"/>
                <w:szCs w:val="20"/>
              </w:rPr>
              <w:t xml:space="preserve">Хранение чеков, базовые напоминания о гарантии</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С запуска</w:t>
            </w:r>
          </w:p>
        </w:tc>
      </w:tr>
      <w:tr>
        <w:tc>
          <w:tcPr>
            <w:tcW w:type="dxa" w:w="21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Consumer Pro</w:t>
            </w:r>
          </w:p>
        </w:tc>
        <w:tc>
          <w:tcPr>
            <w:tcW w:type="dxa" w:w="24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Любой (надстройка)</w:t>
            </w:r>
          </w:p>
        </w:tc>
        <w:tc>
          <w:tcPr>
            <w:tcW w:type="dxa" w:w="14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$3–5/мес</w:t>
            </w:r>
          </w:p>
        </w:tc>
        <w:tc>
          <w:tcPr>
            <w:tcW w:type="dxa" w:w="21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Безлимит, OCR, продление по праву на ремонт, сертификат для перепродажи</w:t>
            </w:r>
          </w:p>
        </w:tc>
        <w:tc>
          <w:tcPr>
            <w:tcW w:type="dxa" w:w="20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Только после подтверждённого удержания (Retention D30) на бесплатном тарифе — не одновременно с запуском</w:t>
            </w:r>
          </w:p>
        </w:tc>
      </w:tr>
      <w:tr>
        <w:tc>
          <w:tcPr>
            <w:tcW w:type="dxa" w:w="2100"/>
            <w:tcMar>
              <w:top w:type="dxa" w:w="100"/>
              <w:left w:type="dxa" w:w="120"/>
              <w:bottom w:type="dxa" w:w="100"/>
              <w:right w:type="dxa" w:w="120"/>
            </w:tcMar>
          </w:tcPr>
          <w:p>
            <w:r>
              <w:rPr>
                <w:rFonts w:ascii="Calibri" w:cs="Calibri" w:eastAsia="Calibri" w:hAnsi="Calibri"/>
                <w:b w:val="false"/>
                <w:bCs w:val="false"/>
                <w:sz w:val="20"/>
                <w:szCs w:val="20"/>
              </w:rPr>
              <w:t xml:space="preserve">Merchant Starter (Роль А)</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Эстония / Ирландия / США — малый бизнес без своей кассы</w:t>
            </w:r>
          </w:p>
        </w:tc>
        <w:tc>
          <w:tcPr>
            <w:tcW w:type="dxa" w:w="1400"/>
            <w:tcMar>
              <w:top w:type="dxa" w:w="100"/>
              <w:left w:type="dxa" w:w="120"/>
              <w:bottom w:type="dxa" w:w="100"/>
              <w:right w:type="dxa" w:w="120"/>
            </w:tcMar>
          </w:tcPr>
          <w:p>
            <w:r>
              <w:rPr>
                <w:rFonts w:ascii="Calibri" w:cs="Calibri" w:eastAsia="Calibri" w:hAnsi="Calibri"/>
                <w:b w:val="false"/>
                <w:bCs w:val="false"/>
                <w:sz w:val="20"/>
                <w:szCs w:val="20"/>
              </w:rPr>
              <w:t xml:space="preserve">$15–19/мес</w:t>
            </w:r>
          </w:p>
        </w:tc>
        <w:tc>
          <w:tcPr>
            <w:tcW w:type="dxa" w:w="2100"/>
            <w:tcMar>
              <w:top w:type="dxa" w:w="100"/>
              <w:left w:type="dxa" w:w="120"/>
              <w:bottom w:type="dxa" w:w="100"/>
              <w:right w:type="dxa" w:w="120"/>
            </w:tcMar>
          </w:tcPr>
          <w:p>
            <w:r>
              <w:rPr>
                <w:rFonts w:ascii="Calibri" w:cs="Calibri" w:eastAsia="Calibri" w:hAnsi="Calibri"/>
                <w:b w:val="false"/>
                <w:bCs w:val="false"/>
                <w:sz w:val="20"/>
                <w:szCs w:val="20"/>
              </w:rPr>
              <w:t xml:space="preserve">Выпуск официальных подписанных чеков, QR, простая аналитика</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После пилота на 5–10 магазинах, не раньше подтверждённого повторного использования покупателем</w:t>
            </w:r>
          </w:p>
        </w:tc>
      </w:tr>
      <w:tr>
        <w:tc>
          <w:tcPr>
            <w:tcW w:type="dxa" w:w="21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Merchant Bridge (Роль Б)</w:t>
            </w:r>
          </w:p>
        </w:tc>
        <w:tc>
          <w:tcPr>
            <w:tcW w:type="dxa" w:w="24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Фискализированные страны — интеграция с уже существующей кассой</w:t>
            </w:r>
          </w:p>
        </w:tc>
        <w:tc>
          <w:tcPr>
            <w:tcW w:type="dxa" w:w="14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$29–49/мес</w:t>
            </w:r>
          </w:p>
        </w:tc>
        <w:tc>
          <w:tcPr>
            <w:tcW w:type="dxa" w:w="21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Импорт уже подписанных чеков из POS/TSE-провайдера, гарантийный слой для клиента, аналитика по гарантийным случаям</w:t>
            </w:r>
          </w:p>
        </w:tc>
        <w:tc>
          <w:tcPr>
            <w:tcW w:type="dxa" w:w="20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После технической проверки одной интеграции (Шаг 2 дорожной карты)</w:t>
            </w:r>
          </w:p>
        </w:tc>
      </w:tr>
      <w:tr>
        <w:tc>
          <w:tcPr>
            <w:tcW w:type="dxa" w:w="2100"/>
            <w:tcMar>
              <w:top w:type="dxa" w:w="100"/>
              <w:left w:type="dxa" w:w="120"/>
              <w:bottom w:type="dxa" w:w="100"/>
              <w:right w:type="dxa" w:w="120"/>
            </w:tcMar>
          </w:tcPr>
          <w:p>
            <w:r>
              <w:rPr>
                <w:rFonts w:ascii="Calibri" w:cs="Calibri" w:eastAsia="Calibri" w:hAnsi="Calibri"/>
                <w:b w:val="false"/>
                <w:bCs w:val="false"/>
                <w:sz w:val="20"/>
                <w:szCs w:val="20"/>
              </w:rPr>
              <w:t xml:space="preserve">API Access</w:t>
            </w:r>
          </w:p>
        </w:tc>
        <w:tc>
          <w:tcPr>
            <w:tcW w:type="dxa" w:w="2400"/>
            <w:tcMar>
              <w:top w:type="dxa" w:w="100"/>
              <w:left w:type="dxa" w:w="120"/>
              <w:bottom w:type="dxa" w:w="100"/>
              <w:right w:type="dxa" w:w="120"/>
            </w:tcMar>
          </w:tcPr>
          <w:p>
            <w:r>
              <w:rPr>
                <w:rFonts w:ascii="Calibri" w:cs="Calibri" w:eastAsia="Calibri" w:hAnsi="Calibri"/>
                <w:b w:val="false"/>
                <w:bCs w:val="false"/>
                <w:sz w:val="20"/>
                <w:szCs w:val="20"/>
              </w:rPr>
              <w:t xml:space="preserve">Оба</w:t>
            </w:r>
          </w:p>
        </w:tc>
        <w:tc>
          <w:tcPr>
            <w:tcW w:type="dxa" w:w="1400"/>
            <w:tcMar>
              <w:top w:type="dxa" w:w="100"/>
              <w:left w:type="dxa" w:w="120"/>
              <w:bottom w:type="dxa" w:w="100"/>
              <w:right w:type="dxa" w:w="120"/>
            </w:tcMar>
          </w:tcPr>
          <w:p>
            <w:r>
              <w:rPr>
                <w:rFonts w:ascii="Calibri" w:cs="Calibri" w:eastAsia="Calibri" w:hAnsi="Calibri"/>
                <w:b w:val="false"/>
                <w:bCs w:val="false"/>
                <w:sz w:val="20"/>
                <w:szCs w:val="20"/>
              </w:rPr>
              <w:t xml:space="preserve">$0.03–0.05/запрос</w:t>
            </w:r>
          </w:p>
        </w:tc>
        <w:tc>
          <w:tcPr>
            <w:tcW w:type="dxa" w:w="2100"/>
            <w:tcMar>
              <w:top w:type="dxa" w:w="100"/>
              <w:left w:type="dxa" w:w="120"/>
              <w:bottom w:type="dxa" w:w="100"/>
              <w:right w:type="dxa" w:w="120"/>
            </w:tcMar>
          </w:tcPr>
          <w:p>
            <w:r>
              <w:rPr>
                <w:rFonts w:ascii="Calibri" w:cs="Calibri" w:eastAsia="Calibri" w:hAnsi="Calibri"/>
                <w:b w:val="false"/>
                <w:bCs w:val="false"/>
                <w:sz w:val="20"/>
                <w:szCs w:val="20"/>
              </w:rPr>
              <w:t xml:space="preserve">Верификация чека третьей стороной (страховая, площадка перепродажи)</w:t>
            </w:r>
          </w:p>
        </w:tc>
        <w:tc>
          <w:tcPr>
            <w:tcW w:type="dxa" w:w="2000"/>
            <w:tcMar>
              <w:top w:type="dxa" w:w="100"/>
              <w:left w:type="dxa" w:w="120"/>
              <w:bottom w:type="dxa" w:w="100"/>
              <w:right w:type="dxa" w:w="120"/>
            </w:tcMar>
          </w:tcPr>
          <w:p>
            <w:r>
              <w:rPr>
                <w:rFonts w:ascii="Calibri" w:cs="Calibri" w:eastAsia="Calibri" w:hAnsi="Calibri"/>
                <w:b w:val="false"/>
                <w:bCs w:val="false"/>
                <w:sz w:val="20"/>
                <w:szCs w:val="20"/>
              </w:rPr>
              <w:t xml:space="preserve">Только по конкретному запросу партнёра, не заранее</w:t>
            </w:r>
          </w:p>
        </w:tc>
      </w:tr>
    </w:tbl>
    <w:p>
      <w:r>
        <w:br w:type="page"/>
      </w:r>
    </w:p>
    <w:p>
      <w:pPr>
        <w:pStyle w:val="Heading1"/>
      </w:pPr>
      <w:r>
        <w:t xml:space="preserve">5. Техническая архитектура — реалистичный, поэтапный план</w:t>
      </w:r>
    </w:p>
    <w:p>
      <w:pPr>
        <w:spacing w:after="160"/>
        <w:jc w:val="both"/>
      </w:pPr>
      <w:r>
        <w:rPr>
          <w:rFonts w:ascii="Calibri" w:cs="Calibri" w:eastAsia="Calibri" w:hAnsi="Calibri"/>
          <w:sz w:val="22"/>
          <w:szCs w:val="22"/>
        </w:rPr>
        <w:t xml:space="preserve">Ниже — то, что должно быть в архитектуре сейчас и что откладывается до появления конкретного спроса, а не строится заранее как инженерная амбиция.</w:t>
      </w:r>
    </w:p>
    <w:p>
      <w:pPr>
        <w:pStyle w:val="Heading2"/>
      </w:pPr>
      <w:r>
        <w:t xml:space="preserve">5.1. Уже должно быть (Шаг 0)</w:t>
      </w:r>
    </w:p>
    <w:p>
      <w:pPr>
        <w:pStyle w:val="ListParagraph"/>
        <w:numPr>
          <w:ilvl w:val="0"/>
          <w:numId w:val="1"/>
        </w:numPr>
        <w:spacing w:after="100"/>
      </w:pPr>
      <w:r>
        <w:rPr>
          <w:rFonts w:ascii="Calibri" w:cs="Calibri" w:eastAsia="Calibri" w:hAnsi="Calibri"/>
          <w:sz w:val="22"/>
          <w:szCs w:val="22"/>
        </w:rPr>
        <w:t xml:space="preserve">Настоящая криптографическая подпись каждого чека (пара ключей на магазин/пользователя, подпись через Ed25519/WebCrypto) — заменяет текущий обычный SHA-256-хеш, который не даёт возможности проверки подлинности третьей стороной.</w:t>
      </w:r>
    </w:p>
    <w:p>
      <w:pPr>
        <w:pStyle w:val="ListParagraph"/>
        <w:numPr>
          <w:ilvl w:val="0"/>
          <w:numId w:val="1"/>
        </w:numPr>
        <w:spacing w:after="100"/>
      </w:pPr>
      <w:r>
        <w:rPr>
          <w:rFonts w:ascii="Calibri" w:cs="Calibri" w:eastAsia="Calibri" w:hAnsi="Calibri"/>
          <w:sz w:val="22"/>
          <w:szCs w:val="22"/>
        </w:rPr>
        <w:t xml:space="preserve">Чёткое разделение в данных и в интерфейсе: чек, выпущенный самим Valuon (Роль А), и чек, импортированный из уже сертифицированной государством системы (Роль Б) — это разные по юридической природе объекты, и показывать их одним статусом «verified» вводит в заблуждение.</w:t>
      </w:r>
    </w:p>
    <w:p>
      <w:pPr>
        <w:pStyle w:val="ListParagraph"/>
        <w:numPr>
          <w:ilvl w:val="0"/>
          <w:numId w:val="1"/>
        </w:numPr>
        <w:spacing w:after="100"/>
      </w:pPr>
      <w:r>
        <w:rPr>
          <w:rFonts w:ascii="Calibri" w:cs="Calibri" w:eastAsia="Calibri" w:hAnsi="Calibri"/>
          <w:sz w:val="22"/>
          <w:szCs w:val="22"/>
        </w:rPr>
        <w:t xml:space="preserve">Аудит RLS-политик Supabase на всех таблицах, а не только на тех, где уже нашёлся баг со статусом чека.</w:t>
      </w:r>
    </w:p>
    <w:p>
      <w:pPr>
        <w:pStyle w:val="Heading2"/>
      </w:pPr>
      <w:r>
        <w:t xml:space="preserve">5.2. Следующий слой (Шаги 1–2)</w:t>
      </w:r>
    </w:p>
    <w:p>
      <w:pPr>
        <w:pStyle w:val="ListParagraph"/>
        <w:numPr>
          <w:ilvl w:val="0"/>
          <w:numId w:val="1"/>
        </w:numPr>
        <w:spacing w:after="100"/>
      </w:pPr>
      <w:r>
        <w:rPr>
          <w:rFonts w:ascii="Calibri" w:cs="Calibri" w:eastAsia="Calibri" w:hAnsi="Calibri"/>
          <w:sz w:val="22"/>
          <w:szCs w:val="22"/>
        </w:rPr>
        <w:t xml:space="preserve">Публичный ключ магазина, доступный для независимой проверки подписи — это даёт «официальному чеку» техническое основание уже сейчас, не дожидаясь регуляторной сертификации.</w:t>
      </w:r>
    </w:p>
    <w:p>
      <w:pPr>
        <w:pStyle w:val="ListParagraph"/>
        <w:numPr>
          <w:ilvl w:val="0"/>
          <w:numId w:val="1"/>
        </w:numPr>
        <w:spacing w:after="100"/>
      </w:pPr>
      <w:r>
        <w:rPr>
          <w:rFonts w:ascii="Calibri" w:cs="Calibri" w:eastAsia="Calibri" w:hAnsi="Calibri"/>
          <w:sz w:val="22"/>
          <w:szCs w:val="22"/>
        </w:rPr>
        <w:t xml:space="preserve">Один интеграционный коннектор к POS/кассовому API в фискализированной стране (например, через встроенное приложение TSE для Shopify в Германии) для проверки модели импорта уже подписанных государством чеков.</w:t>
      </w:r>
    </w:p>
    <w:p>
      <w:pPr>
        <w:pStyle w:val="Heading2"/>
      </w:pPr>
      <w:r>
        <w:t xml:space="preserve">5.3. Отложено до подтверждённого спроса (не раньше Шага 4)</w:t>
      </w:r>
    </w:p>
    <w:p>
      <w:pPr>
        <w:pStyle w:val="ListParagraph"/>
        <w:numPr>
          <w:ilvl w:val="0"/>
          <w:numId w:val="1"/>
        </w:numPr>
        <w:spacing w:after="100"/>
      </w:pPr>
      <w:r>
        <w:rPr>
          <w:rFonts w:ascii="Calibri" w:cs="Calibri" w:eastAsia="Calibri" w:hAnsi="Calibri"/>
          <w:sz w:val="22"/>
          <w:szCs w:val="22"/>
        </w:rPr>
        <w:t xml:space="preserve">Merkle-деревья/append-only журнал для аудита — оправдано при объёме, который делает точечную проверку неудобной, не раньше.</w:t>
      </w:r>
    </w:p>
    <w:p>
      <w:pPr>
        <w:pStyle w:val="ListParagraph"/>
        <w:numPr>
          <w:ilvl w:val="0"/>
          <w:numId w:val="1"/>
        </w:numPr>
        <w:spacing w:after="100"/>
      </w:pPr>
      <w:r>
        <w:rPr>
          <w:rFonts w:ascii="Calibri" w:cs="Calibri" w:eastAsia="Calibri" w:hAnsi="Calibri"/>
          <w:sz w:val="22"/>
          <w:szCs w:val="22"/>
        </w:rPr>
        <w:t xml:space="preserve">DID / Verifiable Credentials — оправдано, если конкретный партнёр (страховая компания, крупная площадка перепродажи) обозначит спрос на идентификацию без email/телефона.</w:t>
      </w:r>
    </w:p>
    <w:p>
      <w:pPr>
        <w:pStyle w:val="ListParagraph"/>
        <w:numPr>
          <w:ilvl w:val="0"/>
          <w:numId w:val="1"/>
        </w:numPr>
        <w:spacing w:after="100"/>
      </w:pPr>
      <w:r>
        <w:rPr>
          <w:rFonts w:ascii="Calibri" w:cs="Calibri" w:eastAsia="Calibri" w:hAnsi="Calibri"/>
          <w:sz w:val="22"/>
          <w:szCs w:val="22"/>
        </w:rPr>
        <w:t xml:space="preserve">Zero-Knowledge Proofs — интересная идея для приватности, но сегодня решает проблему, которой ни один пользователь и ни один пилотный партнёр ещё не называл в качестве требования.</w:t>
      </w:r>
    </w:p>
    <w:p>
      <w:pPr>
        <w:spacing w:after="200"/>
      </w:pPr>
      <w:r>
        <w:rPr>
          <w:rFonts w:ascii="Calibri" w:cs="Calibri" w:eastAsia="Calibri" w:hAnsi="Calibri"/>
          <w:i/>
          <w:iCs/>
          <w:color w:val="555555"/>
          <w:sz w:val="19"/>
          <w:szCs w:val="19"/>
        </w:rPr>
        <w:t xml:space="preserve">Общий принцип: сложная инфраструктура добавляется под уже подтверждённый спрос конкретного партнёра, а не как самостоятельная инженерная цель на будущее — именно эта путаница была главной проблемой версии 2.0 документа.</w:t>
      </w:r>
    </w:p>
    <w:p>
      <w:r>
        <w:br w:type="page"/>
      </w:r>
    </w:p>
    <w:p>
      <w:pPr>
        <w:pStyle w:val="Heading1"/>
      </w:pPr>
      <w:r>
        <w:t xml:space="preserve">6. Пошаговая дорожная карта</w:t>
      </w:r>
    </w:p>
    <w:p>
      <w:pPr>
        <w:pStyle w:val="Heading2"/>
      </w:pPr>
      <w:r>
        <w:t xml:space="preserve">Шаг 0 — ближайшие 30 дней: техническая база под честное «официально»</w:t>
      </w:r>
    </w:p>
    <w:p>
      <w:pPr>
        <w:pStyle w:val="ListParagraph"/>
        <w:numPr>
          <w:ilvl w:val="0"/>
          <w:numId w:val="1"/>
        </w:numPr>
        <w:spacing w:after="100"/>
      </w:pPr>
      <w:r>
        <w:rPr>
          <w:rFonts w:ascii="Calibri" w:cs="Calibri" w:eastAsia="Calibri" w:hAnsi="Calibri"/>
          <w:sz w:val="22"/>
          <w:szCs w:val="22"/>
        </w:rPr>
        <w:t xml:space="preserve">Заменить `fiscal_hash` на настоящую подпись (Ed25519/WebCrypto), публичный ключ магазина доступен для проверки.</w:t>
      </w:r>
    </w:p>
    <w:p>
      <w:pPr>
        <w:pStyle w:val="ListParagraph"/>
        <w:numPr>
          <w:ilvl w:val="0"/>
          <w:numId w:val="1"/>
        </w:numPr>
        <w:spacing w:after="100"/>
      </w:pPr>
      <w:r>
        <w:rPr>
          <w:rFonts w:ascii="Calibri" w:cs="Calibri" w:eastAsia="Calibri" w:hAnsi="Calibri"/>
          <w:sz w:val="22"/>
          <w:szCs w:val="22"/>
        </w:rPr>
        <w:t xml:space="preserve">Аудит RLS-политик Supabase по всем таблицам.</w:t>
      </w:r>
    </w:p>
    <w:p>
      <w:pPr>
        <w:pStyle w:val="ListParagraph"/>
        <w:numPr>
          <w:ilvl w:val="0"/>
          <w:numId w:val="1"/>
        </w:numPr>
        <w:spacing w:after="100"/>
      </w:pPr>
      <w:r>
        <w:rPr>
          <w:rFonts w:ascii="Calibri" w:cs="Calibri" w:eastAsia="Calibri" w:hAnsi="Calibri"/>
          <w:sz w:val="22"/>
          <w:szCs w:val="22"/>
        </w:rPr>
        <w:t xml:space="preserve">Развести в коде и в интерфейсе статус чека Роли А (выпущен Valuon) и Роли Б (импортирован из государственной системы) — не одно поле `verified` на оба случая.</w:t>
      </w:r>
    </w:p>
    <w:p>
      <w:pPr>
        <w:pStyle w:val="ListParagraph"/>
        <w:numPr>
          <w:ilvl w:val="0"/>
          <w:numId w:val="1"/>
        </w:numPr>
        <w:spacing w:after="100"/>
      </w:pPr>
      <w:r>
        <w:rPr>
          <w:rFonts w:ascii="Calibri" w:cs="Calibri" w:eastAsia="Calibri" w:hAnsi="Calibri"/>
          <w:sz w:val="22"/>
          <w:szCs w:val="22"/>
        </w:rPr>
        <w:t xml:space="preserve">Настроить воронку аналитики: активация → первый чек → возврат на 7-й и 30-й день. Без этого нечем измерить успех Шага 1.</w:t>
      </w:r>
    </w:p>
    <w:p>
      <w:pPr>
        <w:pStyle w:val="Heading2"/>
      </w:pPr>
      <w:r>
        <w:t xml:space="preserve">Шаг 1 — месяцы 1–3: доказать Роль А на одном рынке</w:t>
      </w:r>
    </w:p>
    <w:p>
      <w:pPr>
        <w:pStyle w:val="ListParagraph"/>
        <w:numPr>
          <w:ilvl w:val="0"/>
          <w:numId w:val="1"/>
        </w:numPr>
        <w:spacing w:after="100"/>
      </w:pPr>
      <w:r>
        <w:rPr>
          <w:rFonts w:ascii="Calibri" w:cs="Calibri" w:eastAsia="Calibri" w:hAnsi="Calibri"/>
          <w:sz w:val="22"/>
          <w:szCs w:val="22"/>
        </w:rPr>
        <w:t xml:space="preserve">Эстония как первый рынок: нет обязательной фискализации, простая юрисдикция для юрлица (e-Residency), цифровая аудитория.</w:t>
      </w:r>
    </w:p>
    <w:p>
      <w:pPr>
        <w:pStyle w:val="ListParagraph"/>
        <w:numPr>
          <w:ilvl w:val="0"/>
          <w:numId w:val="1"/>
        </w:numPr>
        <w:spacing w:after="100"/>
      </w:pPr>
      <w:r>
        <w:rPr>
          <w:rFonts w:ascii="Calibri" w:cs="Calibri" w:eastAsia="Calibri" w:hAnsi="Calibri"/>
          <w:sz w:val="22"/>
          <w:szCs w:val="22"/>
        </w:rPr>
        <w:t xml:space="preserve">5–10 малых продавцов/мастерских без собственной кассовой системы — Valuon как их единственная система цифровых чеков, бесплатно на пилоте.</w:t>
      </w:r>
    </w:p>
    <w:p>
      <w:pPr>
        <w:pStyle w:val="ListParagraph"/>
        <w:numPr>
          <w:ilvl w:val="0"/>
          <w:numId w:val="1"/>
        </w:numPr>
        <w:spacing w:after="100"/>
      </w:pPr>
      <w:r>
        <w:rPr>
          <w:rFonts w:ascii="Calibri" w:cs="Calibri" w:eastAsia="Calibri" w:hAnsi="Calibri"/>
          <w:sz w:val="22"/>
          <w:szCs w:val="22"/>
        </w:rPr>
        <w:t xml:space="preserve">Параллельный точечный пилот в США — те же малые продавцы/фрилансеры без формальной системы чеков, на отсутствии федерального требования вообще выдавать чек.</w:t>
      </w:r>
    </w:p>
    <w:p>
      <w:pPr>
        <w:pStyle w:val="ListParagraph"/>
        <w:numPr>
          <w:ilvl w:val="0"/>
          <w:numId w:val="1"/>
        </w:numPr>
        <w:spacing w:after="100"/>
      </w:pPr>
      <w:r>
        <w:rPr>
          <w:rFonts w:ascii="Calibri" w:cs="Calibri" w:eastAsia="Calibri" w:hAnsi="Calibri"/>
          <w:sz w:val="22"/>
          <w:szCs w:val="22"/>
        </w:rPr>
        <w:t xml:space="preserve">Метрика: не число выпущенных чеков, а то, возвращается ли покупатель в Valuon повторно (например, при гарантийном случае) — Retention D30 ≥ 25% как ориентир.</w:t>
      </w:r>
    </w:p>
    <w:p>
      <w:pPr>
        <w:pStyle w:val="ListParagraph"/>
        <w:numPr>
          <w:ilvl w:val="0"/>
          <w:numId w:val="1"/>
        </w:numPr>
        <w:spacing w:after="100"/>
      </w:pPr>
      <w:r>
        <w:rPr>
          <w:rFonts w:ascii="Calibri" w:cs="Calibri" w:eastAsia="Calibri" w:hAnsi="Calibri"/>
          <w:sz w:val="22"/>
          <w:szCs w:val="22"/>
        </w:rPr>
        <w:t xml:space="preserve">Точка принятия решения (день 90): если retention низкий, а сценарий использования — разовое сохранение чека без возврата, рассмотреть встраиваемый виджет вместо отдельного приложения, прежде чем продолжать инвестировать в B2C.</w:t>
      </w:r>
    </w:p>
    <w:p>
      <w:pPr>
        <w:pStyle w:val="Heading2"/>
      </w:pPr>
      <w:r>
        <w:t xml:space="preserve">Шаг 2 — месяцы 3–6: первая интеграция для Роли Б</w:t>
      </w:r>
    </w:p>
    <w:p>
      <w:pPr>
        <w:pStyle w:val="ListParagraph"/>
        <w:numPr>
          <w:ilvl w:val="0"/>
          <w:numId w:val="1"/>
        </w:numPr>
        <w:spacing w:after="100"/>
      </w:pPr>
      <w:r>
        <w:rPr>
          <w:rFonts w:ascii="Calibri" w:cs="Calibri" w:eastAsia="Calibri" w:hAnsi="Calibri"/>
          <w:sz w:val="22"/>
          <w:szCs w:val="22"/>
        </w:rPr>
        <w:t xml:space="preserve">Один POS/кассовый API в фискализированной стране (например, TSE-приложение Shopify для Германии) — построить импорт уже подписанного государством чека с явной пометкой источника подписи.</w:t>
      </w:r>
    </w:p>
    <w:p>
      <w:pPr>
        <w:pStyle w:val="ListParagraph"/>
        <w:numPr>
          <w:ilvl w:val="0"/>
          <w:numId w:val="1"/>
        </w:numPr>
        <w:spacing w:after="100"/>
      </w:pPr>
      <w:r>
        <w:rPr>
          <w:rFonts w:ascii="Calibri" w:cs="Calibri" w:eastAsia="Calibri" w:hAnsi="Calibri"/>
          <w:sz w:val="22"/>
          <w:szCs w:val="22"/>
        </w:rPr>
        <w:t xml:space="preserve">Цель шага — техническая: подтвердить, что модель «импорт + вторая жизнь чека» вообще работает, прежде чем инвестировать в коммерциализацию.</w:t>
      </w:r>
    </w:p>
    <w:p>
      <w:pPr>
        <w:pStyle w:val="ListParagraph"/>
        <w:numPr>
          <w:ilvl w:val="0"/>
          <w:numId w:val="1"/>
        </w:numPr>
        <w:spacing w:after="100"/>
      </w:pPr>
      <w:r>
        <w:rPr>
          <w:rFonts w:ascii="Calibri" w:cs="Calibri" w:eastAsia="Calibri" w:hAnsi="Calibri"/>
          <w:sz w:val="22"/>
          <w:szCs w:val="22"/>
        </w:rPr>
        <w:t xml:space="preserve">3–5 пилотных магазинов на этой интеграции — не 50 сразу.</w:t>
      </w:r>
    </w:p>
    <w:p>
      <w:pPr>
        <w:pStyle w:val="ListParagraph"/>
        <w:numPr>
          <w:ilvl w:val="0"/>
          <w:numId w:val="1"/>
        </w:numPr>
        <w:spacing w:after="100"/>
      </w:pPr>
      <w:r>
        <w:rPr>
          <w:rFonts w:ascii="Calibri" w:cs="Calibri" w:eastAsia="Calibri" w:hAnsi="Calibri"/>
          <w:sz w:val="22"/>
          <w:szCs w:val="22"/>
        </w:rPr>
        <w:t xml:space="preserve">Юридическая консультация по конкретному вопросу: можно ли называть импортированный чек «официальным» на стороне Valuon, не создавая впечатления, что Valuon сам является сертифицированным фискальным провайдером.</w:t>
      </w:r>
    </w:p>
    <w:p>
      <w:pPr>
        <w:pStyle w:val="Heading2"/>
      </w:pPr>
      <w:r>
        <w:t xml:space="preserve">Шаг 3 — месяцы 6–12: расширение и решение о географии</w:t>
      </w:r>
    </w:p>
    <w:p>
      <w:pPr>
        <w:pStyle w:val="ListParagraph"/>
        <w:numPr>
          <w:ilvl w:val="0"/>
          <w:numId w:val="1"/>
        </w:numPr>
        <w:spacing w:after="100"/>
      </w:pPr>
      <w:r>
        <w:rPr>
          <w:rFonts w:ascii="Calibri" w:cs="Calibri" w:eastAsia="Calibri" w:hAnsi="Calibri"/>
          <w:sz w:val="22"/>
          <w:szCs w:val="22"/>
        </w:rPr>
        <w:t xml:space="preserve">Расширение Роли А на второй нефискализированный рынок (Ирландия или Финляндия) только если Эстония показала повторное использование чека пользователем, а не просто рост числа магазинов.</w:t>
      </w:r>
    </w:p>
    <w:p>
      <w:pPr>
        <w:pStyle w:val="ListParagraph"/>
        <w:numPr>
          <w:ilvl w:val="0"/>
          <w:numId w:val="1"/>
        </w:numPr>
        <w:spacing w:after="100"/>
      </w:pPr>
      <w:r>
        <w:rPr>
          <w:rFonts w:ascii="Calibri" w:cs="Calibri" w:eastAsia="Calibri" w:hAnsi="Calibri"/>
          <w:sz w:val="22"/>
          <w:szCs w:val="22"/>
        </w:rPr>
        <w:t xml:space="preserve">Расширение Роли Б на вторую страну (Франция — обязательная сертификация касс с сентября 2026 форсирует местных продавцов пересматривать системы именно в этот момент).</w:t>
      </w:r>
    </w:p>
    <w:p>
      <w:pPr>
        <w:pStyle w:val="ListParagraph"/>
        <w:numPr>
          <w:ilvl w:val="0"/>
          <w:numId w:val="1"/>
        </w:numPr>
        <w:spacing w:after="100"/>
      </w:pPr>
      <w:r>
        <w:rPr>
          <w:rFonts w:ascii="Calibri" w:cs="Calibri" w:eastAsia="Calibri" w:hAnsi="Calibri"/>
          <w:sz w:val="22"/>
          <w:szCs w:val="22"/>
        </w:rPr>
        <w:t xml:space="preserve">Выбор одной основной юрисдикции для юрлица и первого платного B2B-продукта (Эстония логично следует из юридической простоты и уже выбранного пилотного рынка).</w:t>
      </w:r>
    </w:p>
    <w:p>
      <w:pPr>
        <w:pStyle w:val="ListParagraph"/>
        <w:numPr>
          <w:ilvl w:val="0"/>
          <w:numId w:val="1"/>
        </w:numPr>
        <w:spacing w:after="100"/>
      </w:pPr>
      <w:r>
        <w:rPr>
          <w:rFonts w:ascii="Calibri" w:cs="Calibri" w:eastAsia="Calibri" w:hAnsi="Calibri"/>
          <w:sz w:val="22"/>
          <w:szCs w:val="22"/>
        </w:rPr>
        <w:t xml:space="preserve">Запуск платных тарифов Merchant Starter/Bridge только после того, как пилотные магазины подтвердят готовность платить — предзаказом или письмом, а не одновременно с самим пилотом.</w:t>
      </w:r>
    </w:p>
    <w:p>
      <w:pPr>
        <w:pStyle w:val="Heading2"/>
      </w:pPr>
      <w:r>
        <w:t xml:space="preserve">Шаг 4 — год 2: масштабирование и решение по Роли В</w:t>
      </w:r>
    </w:p>
    <w:p>
      <w:pPr>
        <w:pStyle w:val="ListParagraph"/>
        <w:numPr>
          <w:ilvl w:val="0"/>
          <w:numId w:val="1"/>
        </w:numPr>
        <w:spacing w:after="100"/>
      </w:pPr>
      <w:r>
        <w:rPr>
          <w:rFonts w:ascii="Calibri" w:cs="Calibri" w:eastAsia="Calibri" w:hAnsi="Calibri"/>
          <w:sz w:val="22"/>
          <w:szCs w:val="22"/>
        </w:rPr>
        <w:t xml:space="preserve">К этому моменту нужна измеримая функция реестра: определённое число пользователей с чеками из нескольких разных магазинов/стран в одном месте, часть из них использует гарантийный слой.</w:t>
      </w:r>
    </w:p>
    <w:p>
      <w:pPr>
        <w:pStyle w:val="ListParagraph"/>
        <w:numPr>
          <w:ilvl w:val="0"/>
          <w:numId w:val="1"/>
        </w:numPr>
        <w:spacing w:after="100"/>
      </w:pPr>
      <w:r>
        <w:rPr>
          <w:rFonts w:ascii="Calibri" w:cs="Calibri" w:eastAsia="Calibri" w:hAnsi="Calibri"/>
          <w:sz w:val="22"/>
          <w:szCs w:val="22"/>
        </w:rPr>
        <w:t xml:space="preserve">Только на этом основании — решение об инвестициях в сертификацию Роли В в одной стране и в более сложную инфраструктуру (раздел 5.3) — под подтверждённый спрос конкретного партнёра, а не заранее.</w:t>
      </w:r>
    </w:p>
    <w:p>
      <w:pPr>
        <w:pStyle w:val="ListParagraph"/>
        <w:numPr>
          <w:ilvl w:val="0"/>
          <w:numId w:val="1"/>
        </w:numPr>
        <w:spacing w:after="100"/>
      </w:pPr>
      <w:r>
        <w:rPr>
          <w:rFonts w:ascii="Calibri" w:cs="Calibri" w:eastAsia="Calibri" w:hAnsi="Calibri"/>
          <w:sz w:val="22"/>
          <w:szCs w:val="22"/>
        </w:rPr>
        <w:t xml:space="preserve">Расширение на новые категории товаров/страны — только после измеримого эффекта в уже проверенных нишах.</w:t>
      </w:r>
    </w:p>
    <w:p>
      <w:r>
        <w:br w:type="page"/>
      </w:r>
    </w:p>
    <w:p>
      <w:pPr>
        <w:pStyle w:val="Heading1"/>
      </w:pPr>
      <w:r>
        <w:t xml:space="preserve">7. Риски</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00"/>
      </w:tblGrid>
      <w:tr>
        <w:trPr>
          <w:tblHeader/>
        </w:trPr>
        <w:tc>
          <w:tcPr>
            <w:tcW w:type="dxa" w:w="2600"/>
            <w:shd w:fill="1F4E5F" w:val="clear"/>
            <w:tcMar>
              <w:top w:type="dxa" w:w="100"/>
              <w:left w:type="dxa" w:w="120"/>
              <w:bottom w:type="dxa" w:w="100"/>
              <w:right w:type="dxa" w:w="120"/>
            </w:tcMar>
          </w:tcPr>
          <w:p>
            <w:r>
              <w:rPr>
                <w:rFonts w:ascii="Calibri" w:cs="Calibri" w:eastAsia="Calibri" w:hAnsi="Calibri"/>
                <w:b/>
                <w:bCs/>
                <w:sz w:val="20"/>
                <w:szCs w:val="20"/>
              </w:rPr>
              <w:t xml:space="preserve">Риск</w:t>
            </w:r>
          </w:p>
        </w:tc>
        <w:tc>
          <w:tcPr>
            <w:tcW w:type="dxa" w:w="3700"/>
            <w:shd w:fill="1F4E5F" w:val="clear"/>
            <w:tcMar>
              <w:top w:type="dxa" w:w="100"/>
              <w:left w:type="dxa" w:w="120"/>
              <w:bottom w:type="dxa" w:w="100"/>
              <w:right w:type="dxa" w:w="120"/>
            </w:tcMar>
          </w:tcPr>
          <w:p>
            <w:r>
              <w:rPr>
                <w:rFonts w:ascii="Calibri" w:cs="Calibri" w:eastAsia="Calibri" w:hAnsi="Calibri"/>
                <w:b/>
                <w:bCs/>
                <w:sz w:val="20"/>
                <w:szCs w:val="20"/>
              </w:rPr>
              <w:t xml:space="preserve">Комментарий</w:t>
            </w:r>
          </w:p>
        </w:tc>
        <w:tc>
          <w:tcPr>
            <w:tcW w:type="dxa" w:w="3000"/>
            <w:shd w:fill="1F4E5F" w:val="clear"/>
            <w:tcMar>
              <w:top w:type="dxa" w:w="100"/>
              <w:left w:type="dxa" w:w="120"/>
              <w:bottom w:type="dxa" w:w="100"/>
              <w:right w:type="dxa" w:w="120"/>
            </w:tcMar>
          </w:tcPr>
          <w:p>
            <w:r>
              <w:rPr>
                <w:rFonts w:ascii="Calibri" w:cs="Calibri" w:eastAsia="Calibri" w:hAnsi="Calibri"/>
                <w:b/>
                <w:bCs/>
                <w:sz w:val="20"/>
                <w:szCs w:val="20"/>
              </w:rPr>
              <w:t xml:space="preserve">Действие</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Смешение Роли А и Роли Б в интерфейсе/статусах</w:t>
            </w:r>
          </w:p>
        </w:tc>
        <w:tc>
          <w:tcPr>
            <w:tcW w:type="dxa" w:w="3700"/>
            <w:tcMar>
              <w:top w:type="dxa" w:w="100"/>
              <w:left w:type="dxa" w:w="120"/>
              <w:bottom w:type="dxa" w:w="100"/>
              <w:right w:type="dxa" w:w="120"/>
            </w:tcMar>
          </w:tcPr>
          <w:p>
            <w:r>
              <w:rPr>
                <w:rFonts w:ascii="Calibri" w:cs="Calibri" w:eastAsia="Calibri" w:hAnsi="Calibri"/>
                <w:b w:val="false"/>
                <w:bCs w:val="false"/>
                <w:sz w:val="20"/>
                <w:szCs w:val="20"/>
              </w:rPr>
              <w:t xml:space="preserve">Пользователь не должен путать чек, подписанный Valuon, и чек, импортированный из государственной системы — иначе это вводит в заблуждение относительно того, что вообще гарантирует Valuon</w:t>
            </w:r>
          </w:p>
        </w:tc>
        <w:tc>
          <w:tcPr>
            <w:tcW w:type="dxa" w:w="3000"/>
            <w:tcMar>
              <w:top w:type="dxa" w:w="100"/>
              <w:left w:type="dxa" w:w="120"/>
              <w:bottom w:type="dxa" w:w="100"/>
              <w:right w:type="dxa" w:w="120"/>
            </w:tcMar>
          </w:tcPr>
          <w:p>
            <w:r>
              <w:rPr>
                <w:rFonts w:ascii="Calibri" w:cs="Calibri" w:eastAsia="Calibri" w:hAnsi="Calibri"/>
                <w:b w:val="false"/>
                <w:bCs w:val="false"/>
                <w:sz w:val="20"/>
                <w:szCs w:val="20"/>
              </w:rPr>
              <w:t xml:space="preserve">Разделить статусы и формулировки в коде и в UI уже на Шаге 0</w:t>
            </w:r>
          </w:p>
        </w:tc>
      </w:tr>
      <w:tr>
        <w:tc>
          <w:tcPr>
            <w:tcW w:type="dxa" w:w="26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Конкуренция в Роли Б — это fiskaly/efsta, а не мелкие трекеры</w:t>
            </w:r>
          </w:p>
        </w:tc>
        <w:tc>
          <w:tcPr>
            <w:tcW w:type="dxa" w:w="37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У них уже больше 1 млн подключённых касс и прямые отношения с налоговыми органами по каждой стране</w:t>
            </w:r>
          </w:p>
        </w:tc>
        <w:tc>
          <w:tcPr>
            <w:tcW w:type="dxa" w:w="30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Не конкурировать в подписи чека; интегрироваться как надстройка поверх их данных</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Низкая частота использования (low-frequency use case)</w:t>
            </w:r>
          </w:p>
        </w:tc>
        <w:tc>
          <w:tcPr>
            <w:tcW w:type="dxa" w:w="3700"/>
            <w:tcMar>
              <w:top w:type="dxa" w:w="100"/>
              <w:left w:type="dxa" w:w="120"/>
              <w:bottom w:type="dxa" w:w="100"/>
              <w:right w:type="dxa" w:w="120"/>
            </w:tcMar>
          </w:tcPr>
          <w:p>
            <w:r>
              <w:rPr>
                <w:rFonts w:ascii="Calibri" w:cs="Calibri" w:eastAsia="Calibri" w:hAnsi="Calibri"/>
                <w:b w:val="false"/>
                <w:bCs w:val="false"/>
                <w:sz w:val="20"/>
                <w:szCs w:val="20"/>
              </w:rPr>
              <w:t xml:space="preserve">Warranty-трекер сам по себе открывают редко — риск для retention</w:t>
            </w:r>
          </w:p>
        </w:tc>
        <w:tc>
          <w:tcPr>
            <w:tcW w:type="dxa" w:w="3000"/>
            <w:tcMar>
              <w:top w:type="dxa" w:w="100"/>
              <w:left w:type="dxa" w:w="120"/>
              <w:bottom w:type="dxa" w:w="100"/>
              <w:right w:type="dxa" w:w="120"/>
            </w:tcMar>
          </w:tcPr>
          <w:p>
            <w:r>
              <w:rPr>
                <w:rFonts w:ascii="Calibri" w:cs="Calibri" w:eastAsia="Calibri" w:hAnsi="Calibri"/>
                <w:b w:val="false"/>
                <w:bCs w:val="false"/>
                <w:sz w:val="20"/>
                <w:szCs w:val="20"/>
              </w:rPr>
              <w:t xml:space="preserve">Событийные триггеры (продление гарантии, истечение) вместо расчёта на самостоятельные визиты</w:t>
            </w:r>
          </w:p>
        </w:tc>
      </w:tr>
      <w:tr>
        <w:tc>
          <w:tcPr>
            <w:tcW w:type="dxa" w:w="26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Насыщенный рынок трекеров гарантий (Слой 1 конкурентов)</w:t>
            </w:r>
          </w:p>
        </w:tc>
        <w:tc>
          <w:tcPr>
            <w:tcW w:type="dxa" w:w="37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Sortly, Warranty Keeper, Zither и другие уже занимают нишу «просто трекер»</w:t>
            </w:r>
          </w:p>
        </w:tc>
        <w:tc>
          <w:tcPr>
            <w:tcW w:type="dxa" w:w="30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Дифференциация через статус официального чека и связку с правом на ремонт, а не через удобство трекинга</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Регуляторная неопределённость Роли А</w:t>
            </w:r>
          </w:p>
        </w:tc>
        <w:tc>
          <w:tcPr>
            <w:tcW w:type="dxa" w:w="3700"/>
            <w:tcMar>
              <w:top w:type="dxa" w:w="100"/>
              <w:left w:type="dxa" w:w="120"/>
              <w:bottom w:type="dxa" w:w="100"/>
              <w:right w:type="dxa" w:w="120"/>
            </w:tcMar>
          </w:tcPr>
          <w:p>
            <w:r>
              <w:rPr>
                <w:rFonts w:ascii="Calibri" w:cs="Calibri" w:eastAsia="Calibri" w:hAnsi="Calibri"/>
                <w:b w:val="false"/>
                <w:bCs w:val="false"/>
                <w:sz w:val="20"/>
                <w:szCs w:val="20"/>
              </w:rPr>
              <w:t xml:space="preserve">Отсутствие обязательной фискализации в Эстонии/Ирландии/США — это отсутствие требования, а не гарантия того, что оно не появится</w:t>
            </w:r>
          </w:p>
        </w:tc>
        <w:tc>
          <w:tcPr>
            <w:tcW w:type="dxa" w:w="3000"/>
            <w:tcMar>
              <w:top w:type="dxa" w:w="100"/>
              <w:left w:type="dxa" w:w="120"/>
              <w:bottom w:type="dxa" w:w="100"/>
              <w:right w:type="dxa" w:w="120"/>
            </w:tcMar>
          </w:tcPr>
          <w:p>
            <w:r>
              <w:rPr>
                <w:rFonts w:ascii="Calibri" w:cs="Calibri" w:eastAsia="Calibri" w:hAnsi="Calibri"/>
                <w:b w:val="false"/>
                <w:bCs w:val="false"/>
                <w:sz w:val="20"/>
                <w:szCs w:val="20"/>
              </w:rPr>
              <w:t xml:space="preserve">Отслеживать регуляторную повестку в этих юрисдикциях не реже раза в год</w:t>
            </w:r>
          </w:p>
        </w:tc>
      </w:tr>
      <w:tr>
        <w:tc>
          <w:tcPr>
            <w:tcW w:type="dxa" w:w="26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Риск снова расшириться раньше времени</w:t>
            </w:r>
          </w:p>
        </w:tc>
        <w:tc>
          <w:tcPr>
            <w:tcW w:type="dxa" w:w="37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Формулировки про «глобальный реестр» и ISO/CEN-стандарт опережали то, что было построено в версии 2.0</w:t>
            </w:r>
          </w:p>
        </w:tc>
        <w:tc>
          <w:tcPr>
            <w:tcW w:type="dxa" w:w="30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Держаться последовательности дорожной карты даже при соблазне объявить более амбициозную версию раньше срока</w:t>
            </w:r>
          </w:p>
        </w:tc>
      </w:tr>
      <w:tr>
        <w:tc>
          <w:tcPr>
            <w:tcW w:type="dxa" w:w="2600"/>
            <w:tcMar>
              <w:top w:type="dxa" w:w="100"/>
              <w:left w:type="dxa" w:w="120"/>
              <w:bottom w:type="dxa" w:w="100"/>
              <w:right w:type="dxa" w:w="120"/>
            </w:tcMar>
          </w:tcPr>
          <w:p>
            <w:r>
              <w:rPr>
                <w:rFonts w:ascii="Calibri" w:cs="Calibri" w:eastAsia="Calibri" w:hAnsi="Calibri"/>
                <w:b w:val="false"/>
                <w:bCs w:val="false"/>
                <w:sz w:val="20"/>
                <w:szCs w:val="20"/>
              </w:rPr>
              <w:t xml:space="preserve">Разрыв между заявленной криптографией и текущим кодом</w:t>
            </w:r>
          </w:p>
        </w:tc>
        <w:tc>
          <w:tcPr>
            <w:tcW w:type="dxa" w:w="3700"/>
            <w:tcMar>
              <w:top w:type="dxa" w:w="100"/>
              <w:left w:type="dxa" w:w="120"/>
              <w:bottom w:type="dxa" w:w="100"/>
              <w:right w:type="dxa" w:w="120"/>
            </w:tcMar>
          </w:tcPr>
          <w:p>
            <w:r>
              <w:rPr>
                <w:rFonts w:ascii="Calibri" w:cs="Calibri" w:eastAsia="Calibri" w:hAnsi="Calibri"/>
                <w:b w:val="false"/>
                <w:bCs w:val="false"/>
                <w:sz w:val="20"/>
                <w:szCs w:val="20"/>
              </w:rPr>
              <w:t xml:space="preserve">Выявлено при разборе кода — `fiscal_hash` был обычным хешем, не подписью</w:t>
            </w:r>
          </w:p>
        </w:tc>
        <w:tc>
          <w:tcPr>
            <w:tcW w:type="dxa" w:w="3000"/>
            <w:tcMar>
              <w:top w:type="dxa" w:w="100"/>
              <w:left w:type="dxa" w:w="120"/>
              <w:bottom w:type="dxa" w:w="100"/>
              <w:right w:type="dxa" w:w="120"/>
            </w:tcMar>
          </w:tcPr>
          <w:p>
            <w:r>
              <w:rPr>
                <w:rFonts w:ascii="Calibri" w:cs="Calibri" w:eastAsia="Calibri" w:hAnsi="Calibri"/>
                <w:b w:val="false"/>
                <w:bCs w:val="false"/>
                <w:sz w:val="20"/>
                <w:szCs w:val="20"/>
              </w:rPr>
              <w:t xml:space="preserve">Закрыто на Шаге 0: либо реализовать подпись, либо не заявлять того, чего нет</w:t>
            </w:r>
          </w:p>
        </w:tc>
      </w:tr>
    </w:tbl>
    <w:p>
      <w:r>
        <w:br w:type="page"/>
      </w:r>
    </w:p>
    <w:p>
      <w:pPr>
        <w:pStyle w:val="Heading1"/>
      </w:pPr>
      <w:r>
        <w:t xml:space="preserve">8. Метрики, по которым стоит следить с самого начала</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00"/>
      </w:tblGrid>
      <w:tr>
        <w:trPr>
          <w:tblHeader/>
        </w:trPr>
        <w:tc>
          <w:tcPr>
            <w:tcW w:type="dxa" w:w="3200"/>
            <w:shd w:fill="1F4E5F" w:val="clear"/>
            <w:tcMar>
              <w:top w:type="dxa" w:w="100"/>
              <w:left w:type="dxa" w:w="120"/>
              <w:bottom w:type="dxa" w:w="100"/>
              <w:right w:type="dxa" w:w="120"/>
            </w:tcMar>
          </w:tcPr>
          <w:p>
            <w:r>
              <w:rPr>
                <w:rFonts w:ascii="Calibri" w:cs="Calibri" w:eastAsia="Calibri" w:hAnsi="Calibri"/>
                <w:b/>
                <w:bCs/>
                <w:sz w:val="20"/>
                <w:szCs w:val="20"/>
              </w:rPr>
              <w:t xml:space="preserve">Метрика</w:t>
            </w:r>
          </w:p>
        </w:tc>
        <w:tc>
          <w:tcPr>
            <w:tcW w:type="dxa" w:w="3600"/>
            <w:shd w:fill="1F4E5F" w:val="clear"/>
            <w:tcMar>
              <w:top w:type="dxa" w:w="100"/>
              <w:left w:type="dxa" w:w="120"/>
              <w:bottom w:type="dxa" w:w="100"/>
              <w:right w:type="dxa" w:w="120"/>
            </w:tcMar>
          </w:tcPr>
          <w:p>
            <w:r>
              <w:rPr>
                <w:rFonts w:ascii="Calibri" w:cs="Calibri" w:eastAsia="Calibri" w:hAnsi="Calibri"/>
                <w:b/>
                <w:bCs/>
                <w:sz w:val="20"/>
                <w:szCs w:val="20"/>
              </w:rPr>
              <w:t xml:space="preserve">Зачем</w:t>
            </w:r>
          </w:p>
        </w:tc>
        <w:tc>
          <w:tcPr>
            <w:tcW w:type="dxa" w:w="2500"/>
            <w:shd w:fill="1F4E5F" w:val="clear"/>
            <w:tcMar>
              <w:top w:type="dxa" w:w="100"/>
              <w:left w:type="dxa" w:w="120"/>
              <w:bottom w:type="dxa" w:w="100"/>
              <w:right w:type="dxa" w:w="120"/>
            </w:tcMar>
          </w:tcPr>
          <w:p>
            <w:r>
              <w:rPr>
                <w:rFonts w:ascii="Calibri" w:cs="Calibri" w:eastAsia="Calibri" w:hAnsi="Calibri"/>
                <w:b/>
                <w:bCs/>
                <w:sz w:val="20"/>
                <w:szCs w:val="20"/>
              </w:rPr>
              <w:t xml:space="preserve">Ориентир</w:t>
            </w:r>
          </w:p>
        </w:tc>
      </w:tr>
      <w:tr>
        <w:tc>
          <w:tcPr>
            <w:tcW w:type="dxa" w:w="3200"/>
            <w:tcMar>
              <w:top w:type="dxa" w:w="100"/>
              <w:left w:type="dxa" w:w="120"/>
              <w:bottom w:type="dxa" w:w="100"/>
              <w:right w:type="dxa" w:w="120"/>
            </w:tcMar>
          </w:tcPr>
          <w:p>
            <w:r>
              <w:rPr>
                <w:rFonts w:ascii="Calibri" w:cs="Calibri" w:eastAsia="Calibri" w:hAnsi="Calibri"/>
                <w:b w:val="false"/>
                <w:bCs w:val="false"/>
                <w:sz w:val="20"/>
                <w:szCs w:val="20"/>
              </w:rPr>
              <w:t xml:space="preserve">Retention D7 / D30 по покупателям</w:t>
            </w:r>
          </w:p>
        </w:tc>
        <w:tc>
          <w:tcPr>
            <w:tcW w:type="dxa" w:w="3600"/>
            <w:tcMar>
              <w:top w:type="dxa" w:w="100"/>
              <w:left w:type="dxa" w:w="120"/>
              <w:bottom w:type="dxa" w:w="100"/>
              <w:right w:type="dxa" w:w="120"/>
            </w:tcMar>
          </w:tcPr>
          <w:p>
            <w:r>
              <w:rPr>
                <w:rFonts w:ascii="Calibri" w:cs="Calibri" w:eastAsia="Calibri" w:hAnsi="Calibri"/>
                <w:b w:val="false"/>
                <w:bCs w:val="false"/>
                <w:sz w:val="20"/>
                <w:szCs w:val="20"/>
              </w:rPr>
              <w:t xml:space="preserve">Главный сигнал того, нужен ли «единый чек» сам по себе, а не только в момент покупки</w:t>
            </w:r>
          </w:p>
        </w:tc>
        <w:tc>
          <w:tcPr>
            <w:tcW w:type="dxa" w:w="2500"/>
            <w:tcMar>
              <w:top w:type="dxa" w:w="100"/>
              <w:left w:type="dxa" w:w="120"/>
              <w:bottom w:type="dxa" w:w="100"/>
              <w:right w:type="dxa" w:w="120"/>
            </w:tcMar>
          </w:tcPr>
          <w:p>
            <w:r>
              <w:rPr>
                <w:rFonts w:ascii="Calibri" w:cs="Calibri" w:eastAsia="Calibri" w:hAnsi="Calibri"/>
                <w:b w:val="false"/>
                <w:bCs w:val="false"/>
                <w:sz w:val="20"/>
                <w:szCs w:val="20"/>
              </w:rPr>
              <w:t xml:space="preserve">D30 ≥ 25% к концу Шага 1</w:t>
            </w:r>
          </w:p>
        </w:tc>
      </w:tr>
      <w:tr>
        <w:tc>
          <w:tcPr>
            <w:tcW w:type="dxa" w:w="32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Доля чеков, к которым пользователь вернулся (гарантийный случай, продление, перепродажа)</w:t>
            </w:r>
          </w:p>
        </w:tc>
        <w:tc>
          <w:tcPr>
            <w:tcW w:type="dxa" w:w="36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Проверяет, работает ли надстройка как крючок вовлечения</w:t>
            </w:r>
          </w:p>
        </w:tc>
        <w:tc>
          <w:tcPr>
            <w:tcW w:type="dxa" w:w="25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Отслеживать с первого пилота, целевых цифр пока нет — собрать базовый уровень</w:t>
            </w:r>
          </w:p>
        </w:tc>
      </w:tr>
      <w:tr>
        <w:tc>
          <w:tcPr>
            <w:tcW w:type="dxa" w:w="3200"/>
            <w:tcMar>
              <w:top w:type="dxa" w:w="100"/>
              <w:left w:type="dxa" w:w="120"/>
              <w:bottom w:type="dxa" w:w="100"/>
              <w:right w:type="dxa" w:w="120"/>
            </w:tcMar>
          </w:tcPr>
          <w:p>
            <w:r>
              <w:rPr>
                <w:rFonts w:ascii="Calibri" w:cs="Calibri" w:eastAsia="Calibri" w:hAnsi="Calibri"/>
                <w:b w:val="false"/>
                <w:bCs w:val="false"/>
                <w:sz w:val="20"/>
                <w:szCs w:val="20"/>
              </w:rPr>
              <w:t xml:space="preserve">Число магазинов, продолжающих платить после пилотного периода</w:t>
            </w:r>
          </w:p>
        </w:tc>
        <w:tc>
          <w:tcPr>
            <w:tcW w:type="dxa" w:w="3600"/>
            <w:tcMar>
              <w:top w:type="dxa" w:w="100"/>
              <w:left w:type="dxa" w:w="120"/>
              <w:bottom w:type="dxa" w:w="100"/>
              <w:right w:type="dxa" w:w="120"/>
            </w:tcMar>
          </w:tcPr>
          <w:p>
            <w:r>
              <w:rPr>
                <w:rFonts w:ascii="Calibri" w:cs="Calibri" w:eastAsia="Calibri" w:hAnsi="Calibri"/>
                <w:b w:val="false"/>
                <w:bCs w:val="false"/>
                <w:sz w:val="20"/>
                <w:szCs w:val="20"/>
              </w:rPr>
              <w:t xml:space="preserve">Проверяет готовность платить, а не только участвовать бесплатно</w:t>
            </w:r>
          </w:p>
        </w:tc>
        <w:tc>
          <w:tcPr>
            <w:tcW w:type="dxa" w:w="2500"/>
            <w:tcMar>
              <w:top w:type="dxa" w:w="100"/>
              <w:left w:type="dxa" w:w="120"/>
              <w:bottom w:type="dxa" w:w="100"/>
              <w:right w:type="dxa" w:w="120"/>
            </w:tcMar>
          </w:tcPr>
          <w:p>
            <w:r>
              <w:rPr>
                <w:rFonts w:ascii="Calibri" w:cs="Calibri" w:eastAsia="Calibri" w:hAnsi="Calibri"/>
                <w:b w:val="false"/>
                <w:bCs w:val="false"/>
                <w:sz w:val="20"/>
                <w:szCs w:val="20"/>
              </w:rPr>
              <w:t xml:space="preserve">≥ 60% пилотных магазинов Роли А к концу Шага 3</w:t>
            </w:r>
          </w:p>
        </w:tc>
      </w:tr>
      <w:tr>
        <w:tc>
          <w:tcPr>
            <w:tcW w:type="dxa" w:w="32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Успешность одной интеграции Роли Б (реально ли данные приходят и подписи проверяются)</w:t>
            </w:r>
          </w:p>
        </w:tc>
        <w:tc>
          <w:tcPr>
            <w:tcW w:type="dxa" w:w="36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Технический go/no-go перед расширением на вторую страну</w:t>
            </w:r>
          </w:p>
        </w:tc>
        <w:tc>
          <w:tcPr>
            <w:tcW w:type="dxa" w:w="2500"/>
            <w:shd w:fill="EAF2F4" w:val="clear"/>
            <w:tcMar>
              <w:top w:type="dxa" w:w="100"/>
              <w:left w:type="dxa" w:w="120"/>
              <w:bottom w:type="dxa" w:w="100"/>
              <w:right w:type="dxa" w:w="120"/>
            </w:tcMar>
          </w:tcPr>
          <w:p>
            <w:r>
              <w:rPr>
                <w:rFonts w:ascii="Calibri" w:cs="Calibri" w:eastAsia="Calibri" w:hAnsi="Calibri"/>
                <w:b w:val="false"/>
                <w:bCs w:val="false"/>
                <w:sz w:val="20"/>
                <w:szCs w:val="20"/>
              </w:rPr>
              <w:t xml:space="preserve">100% транзакций с корректной проверкой подписи на пилоте</w:t>
            </w:r>
          </w:p>
        </w:tc>
      </w:tr>
    </w:tbl>
    <w:p>
      <w:r>
        <w:br w:type="page"/>
      </w:r>
    </w:p>
    <w:p>
      <w:pPr>
        <w:pStyle w:val="Heading1"/>
      </w:pPr>
      <w:r>
        <w:t xml:space="preserve">9. Источники</w:t>
      </w:r>
    </w:p>
    <w:p>
      <w:pPr>
        <w:spacing w:after="200"/>
      </w:pPr>
      <w:r>
        <w:rPr>
          <w:rFonts w:ascii="Calibri" w:cs="Calibri" w:eastAsia="Calibri" w:hAnsi="Calibri"/>
          <w:i/>
          <w:iCs/>
          <w:color w:val="555555"/>
          <w:sz w:val="19"/>
          <w:szCs w:val="19"/>
        </w:rPr>
        <w:t xml:space="preserve">NRF &amp; Happy Returns, «2025 Retail Returns Landscape», октябрь 2025 — nrf.com</w:t>
      </w:r>
    </w:p>
    <w:p>
      <w:pPr>
        <w:spacing w:after="200"/>
      </w:pPr>
      <w:r>
        <w:rPr>
          <w:rFonts w:ascii="Calibri" w:cs="Calibri" w:eastAsia="Calibri" w:hAnsi="Calibri"/>
          <w:i/>
          <w:iCs/>
          <w:color w:val="555555"/>
          <w:sz w:val="19"/>
          <w:szCs w:val="19"/>
        </w:rPr>
        <w:t xml:space="preserve">Appriss Retail + Deloitte, «2024 Consumer Returns in the Retail Industry» — цитируется по обзору makemyreceipt.com</w:t>
      </w:r>
    </w:p>
    <w:p>
      <w:pPr>
        <w:spacing w:after="200"/>
      </w:pPr>
      <w:r>
        <w:rPr>
          <w:rFonts w:ascii="Calibri" w:cs="Calibri" w:eastAsia="Calibri" w:hAnsi="Calibri"/>
          <w:i/>
          <w:iCs/>
          <w:color w:val="555555"/>
          <w:sz w:val="19"/>
          <w:szCs w:val="19"/>
        </w:rPr>
        <w:t xml:space="preserve">Global E-waste Monitor 2024, ITU / UNITAR — ewastemonitor.info, unitar.org, globalewaste.org</w:t>
      </w:r>
    </w:p>
    <w:p>
      <w:pPr>
        <w:spacing w:after="200"/>
      </w:pPr>
      <w:r>
        <w:rPr>
          <w:rFonts w:ascii="Calibri" w:cs="Calibri" w:eastAsia="Calibri" w:hAnsi="Calibri"/>
          <w:i/>
          <w:iCs/>
          <w:color w:val="555555"/>
          <w:sz w:val="19"/>
          <w:szCs w:val="19"/>
        </w:rPr>
        <w:t xml:space="preserve">Directive (EU) 2024/1799 on common rules promoting the repair of goods — eur-lex.europa.eu, commission.europa.eu</w:t>
      </w:r>
    </w:p>
    <w:p>
      <w:pPr>
        <w:spacing w:after="200"/>
      </w:pPr>
      <w:r>
        <w:rPr>
          <w:rFonts w:ascii="Calibri" w:cs="Calibri" w:eastAsia="Calibri" w:hAnsi="Calibri"/>
          <w:i/>
          <w:iCs/>
          <w:color w:val="555555"/>
          <w:sz w:val="19"/>
          <w:szCs w:val="19"/>
        </w:rPr>
        <w:t xml:space="preserve">Regulation (EU) 2024/1781 (ESPR) и материалы по Digital Product Passport — commission.europa.eu, digiprodpass.com, passportcraft.com</w:t>
      </w:r>
    </w:p>
    <w:p>
      <w:pPr>
        <w:spacing w:after="200"/>
      </w:pPr>
      <w:r>
        <w:rPr>
          <w:rFonts w:ascii="Calibri" w:cs="Calibri" w:eastAsia="Calibri" w:hAnsi="Calibri"/>
          <w:i/>
          <w:iCs/>
          <w:color w:val="555555"/>
          <w:sz w:val="19"/>
          <w:szCs w:val="19"/>
        </w:rPr>
        <w:t xml:space="preserve">Фискализация по странам ЕС — fiskaly.com, efsta.eu, dddinvoices.com, smeetz.com, kassensichv.net</w:t>
      </w:r>
    </w:p>
    <w:p>
      <w:pPr>
        <w:spacing w:after="200"/>
      </w:pPr>
      <w:r>
        <w:rPr>
          <w:rFonts w:ascii="Calibri" w:cs="Calibri" w:eastAsia="Calibri" w:hAnsi="Calibri"/>
          <w:i/>
          <w:iCs/>
          <w:color w:val="555555"/>
          <w:sz w:val="19"/>
          <w:szCs w:val="19"/>
        </w:rPr>
        <w:t xml:space="preserve">Отсутствие федерального требования на чек в США — lawpath.com, irs.gov</w:t>
      </w:r>
    </w:p>
    <w:p>
      <w:pPr>
        <w:spacing w:after="200"/>
      </w:pPr>
      <w:r>
        <w:rPr>
          <w:rFonts w:ascii="Calibri" w:cs="Calibri" w:eastAsia="Calibri" w:hAnsi="Calibri"/>
          <w:i/>
          <w:iCs/>
          <w:color w:val="555555"/>
          <w:sz w:val="19"/>
          <w:szCs w:val="19"/>
        </w:rPr>
        <w:t xml:space="preserve">Обзор конкурентных приложений — techwiser.com, apps.apple.com, play.google.com, vorby.com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4E5F"/>
      <w:sz w:val="32"/>
      <w:szCs w:val="32"/>
    </w:rPr>
  </w:style>
  <w:style w:type="paragraph" w:styleId="Heading2">
    <w:name w:val="Heading 2"/>
    <w:basedOn w:val="Normal"/>
    <w:next w:val="Normal"/>
    <w:qFormat/>
    <w:pPr>
      <w:spacing w:after="150" w:before="300"/>
    </w:pPr>
    <w:rPr>
      <w:rFonts w:ascii="Calibri" w:cs="Calibri" w:eastAsia="Calibri" w:hAnsi="Calibri"/>
      <w:b/>
      <w:bCs/>
      <w:color w:val="1F4E5F"/>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2026-07-07T09:58:46.681Z</dcterms:created>
  <dcterms:modified xsi:type="dcterms:W3CDTF">2026-07-07T09:58:46.693Z</dcterms:modified>
</cp:coreProperties>
</file>

<file path=docProps/custom.xml><?xml version="1.0" encoding="utf-8"?>
<Properties xmlns="http://schemas.openxmlformats.org/officeDocument/2006/custom-properties" xmlns:vt="http://schemas.openxmlformats.org/officeDocument/2006/docPropsVTypes"/>
</file>