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THREADLINE — DANIEL FAZIO INTEGRATION AUDIT — FINAL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 OF THIS MATERIAL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Daniel Fazio AI Assisted Agency is secondary tactical evidence. It does not override Charlie/Imperium or founder-locked Threadline decisions.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ADDED / STRENGTHENED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Commercial Response Validation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After qualitative niche/problem validation, run small controlled outreach batches to test actual buyer response before scaling.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Competence Display Bridge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Before strong case studies exist, demonstrate methodology publicly/privately through teardowns, mini audits, script rewrites, market analyses and constraint diagnoses. Replace inferred competence with real proof as cases accumulate.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A/B Prospect Effort Segmentation / Dream Accounts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High-fit/high-value prospects deserve deeper research, pre-completed work and Looms. Good but less exceptional prospects receive more scalable researched outreach. Borderline prospects should not consume founder time.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Pre-Completed-Value Outreach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Research a prospect, create something genuinely useful before asking for a meeting, then use the asset to demonstrate competence. Do not attach unsupported forecasts for views/leads.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Reply-to-Booking as a Conversion Stage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Replies are not bookings. Classify and manage interested/curious/send-info/not-now/objection/referral/not-fit/booked states and track the conversion.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Economic Fit Gate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buyer economics to establish whether £2.5k/month can rationally make sense. Do not turn economics into a performance guarantee.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Sales State Map / Pitch Engineering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Keep Charlie’s diagnosis architecture, but make states visible: open, economics, current, desired, constraint, consequence, prescription, demo, commercials, decision.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Constraint-Relevant Demo Rule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Show only Threadline OS modules that prove the diagnosed problem/prescription or remove a material objection. Never feature-dump.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Client Proof Interview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After a meaningful win, run a structured 20–30 minute interview covering before state, why they bought, what changed, measurable results/milestones and recommendation. Repurpose into case study, testimonial clips, website/proposal/sales proof and content.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Source-to-Multi-Asset Repurposing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Treat strong source material (interview, sales call, podcast, webinar, memo, FAQ, report) as an input that can create multiple candidate outputs. Human judgement decides what is publishable.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11. Editing Style Profile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Capture pacing, captions, cut/zoom frequency, B-roll density, graphics, music, humour, polish and liked/disliked examples so editors work against a stable profile rather than repeated vague feedback.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12. Trial-Project Hiring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 screen → paid same-asset test → scorecard → interview → supervised real project → QA → ownership / backup pool.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13. Operator CEO Scoreboard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One management view across acquisition, sales, delivery, economics and retention. Avoid vanity metrics.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NOT ADOPTED / DEFERRED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Aggressive guarantees for leads/revenue/views — conflicts with Threadline controllability principle.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Unsupported cold-email forecasts such as “this will generate X views/leads.”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Three pricing tiers at launch — deferred until repeated demand proves predictable add-ons/ascension.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Generic AI automation agency positioning — Threadline remains a specialised managed content-growth service.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Auto-publishing AI content from RSS/source feeds — future ingestion may create evidence/signals, not unreviewed publishing.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Heavy n8n/automation-first architecture — individual automations can inspire implementation, but Threadline’s evidence/approval/learning lineage remains the stronger core.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Building every possible acquisition channel/tool before the first wedge is validated.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Fazio made acquisition/proof/sales/operations sharper but did not change Threadline’s core business, positioning, price hypothesis, productisation doctrine, client division of labour or course-authority hierarchy.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