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two phases that program the machine – the routing table and the gating state – are machine-checked against each other in the firmware’s two implementations (Section</w:t>
      </w:r>
      <w:r>
        <w:t xml:space="preserve"> </w:t>
      </w:r>
      <w:hyperlink w:anchor="sec:3.5">
        <w:r>
          <w:rPr>
            <w:rStyle w:val="Hyperlink"/>
          </w:rPr>
          <w:t xml:space="preserve">3.5</w:t>
        </w:r>
      </w:hyperlink>
      <w:r>
        <w:t xml:space="preserve">).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programs the gating weights once during machine setup, 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 The node’s firmware, the board’s glue between the management node, the gating ASIC, and the fabric, and the decision’s read-back are all machine-checked (Section</w:t>
      </w:r>
      <w:r>
        <w:t xml:space="preserve"> </w:t>
      </w:r>
      <w:hyperlink w:anchor="sec:3.5">
        <w:r>
          <w:rPr>
            <w:rStyle w:val="Hyperlink"/>
          </w:rPr>
          <w:t xml:space="preserve">3.5</w:t>
        </w:r>
      </w:hyperlink>
      <w:r>
        <w:t xml:space="preserve">).</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The shipped receiver is write-only: the programming path is complete, and the fabric-side read-back of the decision is the remaining piece of work, so a mode-B manager today reads the decision from the chip’s local output wires rather than over the fabric.</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and requires the same decision.</w:t>
      </w:r>
    </w:p>
    <w:p>
      <w:pPr>
        <w:pStyle w:val="BodyText"/>
      </w:pPr>
      <w:r>
        <w:t xml:space="preserve">The difference is in what crosses the fabric. In mode A the gating weights never touch it: the management node loads them into the ASIC once, locally, and each token’s decision is a local register read. In mode B the host must push the 0.7 MB of weights across once per layer at setup and, thereafter, push each token’s 5.6 KB hidden vector in per layer, with the decision returned to the host.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p>
      <w:pPr>
        <w:pStyle w:val="BodyText"/>
      </w:pPr>
      <w:r>
        <w:t xml:space="preserve">One structural fact bounds both modes, and it is a property of the fabric rather than of the manager. The fabric is a tree whose only router is the root: a node’s message travels up the spine and is re-issued downward from the top. A dispatch therefore reaches the expert node either through the host, which reads the decision and injects the dispatch (mode B), or through a root-side router that consumes the decision directly and injects the dispatch without the host (the mode-A path). The *decision* is what mode A keeps local; the dispatch itself still crosses the fabric, because the expert’s weights are what the dispatch is for. The end-to-end path—host to the management node, the gating engine, the dispatch, the expert, and the result back—is machine-checked as one composed system.</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2026-10-21T10:01:55Z</dcterms:created>
  <dcterms:modified xsi:type="dcterms:W3CDTF">2026-10-21T10:01:55Z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