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4.png" ContentType="image/png"/>
  <Override PartName="/word/media/rId39.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router-bridge chip that a host—a Raspberry Pi or any third-party microcontroller—drives over a simple host link, handling topology discovery, workload dispatch, and the host’s command stream</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cycle-exact closed-form latency on a 100 MHz behavioral co-simulation, a real-checkpoint numeric forward pass that is greedy-token-identical to a BF16 reference,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w:t>
      </w:r>
      <w:r>
        <w:t xml:space="preserve"> </w:t>
      </w:r>
      <w:hyperlink w:anchor="sec:3.5">
        <w:r>
          <w:rPr>
            <w:rStyle w:val="Hyperlink"/>
          </w:rPr>
          <w:t xml:space="preserve">3.5</w:t>
        </w:r>
      </w:hyperlink>
      <w:r>
        <w:t xml:space="preserve">, 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Host Bridge; Raspberry Pi;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a CPU-less router bridge with a host link (SPI on a Raspberry Pi, or any third-party microcontroller), with matching Go and C firmware twins, the model compiler, PCB and assembly models, and a reproducible test suite in the companion repository</w:t>
      </w:r>
      <w:r>
        <w:t xml:space="preserve">.</w:t>
      </w:r>
    </w:p>
    <w:bookmarkEnd w:id="26"/>
    <w:bookmarkEnd w:id="27"/>
    <w:bookmarkStart w:id="63"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bridge—the only stateful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accepts the host’s command and weight stream over a simple host link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The bridge has no processor of its own: the host—a Raspberry Pi or any third-party microcontroller—runs the boot sequence and the dispatch loop, so the same firmware serves a Pi, an MCU, or a workstation.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host’s firmware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on the per-node gating ASIC (Section</w:t>
      </w:r>
      <w:r>
        <w:t xml:space="preserve"> </w:t>
      </w:r>
      <w:hyperlink w:anchor="sec:2.17.1">
        <w:r>
          <w:rPr>
            <w:rStyle w:val="Hyperlink"/>
          </w:rPr>
          <w:t xml:space="preserve">2.17.1</w:t>
        </w:r>
      </w:hyperlink>
      <w:r>
        <w:t xml:space="preserve">),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the host link into the per-node gating ASIC’s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 0.7 MB of weights (128</w:t>
      </w:r>
      <w:r>
        <w:t xml:space="preserve"> </w:t>
      </w:r>
      <m:oMath>
        <m:r>
          <m:rPr>
            <m:sty m:val="p"/>
          </m:rPr>
          <m:t>×</m:t>
        </m:r>
      </m:oMath>
      <w:r>
        <w:t xml:space="preserve"> </w:t>
      </w:r>
      <w:r>
        <w:t xml:space="preserve">2,816</w:t>
      </w:r>
      <w:r>
        <w:t xml:space="preserve"> </w:t>
      </w:r>
      <m:oMath>
        <m:r>
          <m:rPr>
            <m:sty m:val="p"/>
          </m:rPr>
          <m:t>×</m:t>
        </m:r>
      </m:oMath>
      <w:r>
        <w:t xml:space="preserve"> </w:t>
      </w:r>
      <w:r>
        <w:t xml:space="preserve">2 B)—exactly the weight store the shipped gating ASIC provides—so only its per-token evaluation latency is a projection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host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host enters the dispatch loop: for MoE workloads, it dispatches tokens to the experts the gating ASICs selected;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host’s firmware (Section</w:t>
      </w:r>
      <w:r>
        <w:t xml:space="preserve"> </w:t>
      </w:r>
      <w:hyperlink w:anchor="sec:2.5">
        <w:r>
          <w:rPr>
            <w:rStyle w:val="Hyperlink"/>
          </w:rPr>
          <w:t xml:space="preserve">2.5</w:t>
        </w:r>
      </w:hyperlink>
      <w:r>
        <w:t xml:space="preserve">) boots the chassis over the host link,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bridge, which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the host bridge (a byte-exact wormhole flit with its CRC-16, and the dispatch counter), and the host path end to end (SPI adapter, arbiter, and bridge composed, checking a register read-back, the emitted flit, and the result path).</w:t>
      </w:r>
    </w:p>
    <w:p>
      <w:pPr>
        <w:pStyle w:val="BodyText"/>
      </w:pPr>
      <w:r>
        <w:t xml:space="preserve">Beyond the fabric and compute silicon, tb_sodimm_ctrl.v verifies the banked memory controller described in Section</w:t>
      </w:r>
      <w:r>
        <w:t xml:space="preserve"> </w:t>
      </w:r>
      <w:hyperlink w:anchor="sec:2.16">
        <w:r>
          <w:rPr>
            <w:rStyle w:val="Hyperlink"/>
          </w:rPr>
          <w:t xml:space="preserve">2.16</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9" w:name="sec:2.17"/>
    <w:p>
      <w:pPr>
        <w:pStyle w:val="Heading2"/>
      </w:pPr>
      <w:r>
        <w:t xml:space="preserve">2.17 The router bridge: a CPU-less chip with a host link</w:t>
      </w:r>
    </w:p>
    <w:p>
      <w:pPr>
        <w:pStyle w:val="FirstParagraph"/>
      </w:pPr>
      <w:r>
        <w:t xml:space="preserve">The router bridge described in Section</w:t>
      </w:r>
      <w:r>
        <w:t xml:space="preserve"> </w:t>
      </w:r>
      <w:hyperlink w:anchor="sec:2.5">
        <w:r>
          <w:rPr>
            <w:rStyle w:val="Hyperlink"/>
          </w:rPr>
          <w:t xml:space="preserve">2.5</w:t>
        </w:r>
      </w:hyperlink>
      <w:r>
        <w:t xml:space="preserve"> </w:t>
      </w:r>
      <w:r>
        <w:t xml:space="preserve">has no processor of its own. The chip is a bridge between the host and the fabric: it performs Power-On Self-Test and topology discovery, accepts the host’s routing tables, weight blobs, and dispatch commands over a host link, evaluates the coordinate mapping for dynamic MoE expert routing, and injects every JIT-dispatched token into the fabric. All sequencing—the five boot phases of Section</w:t>
      </w:r>
      <w:r>
        <w:t xml:space="preserve"> </w:t>
      </w:r>
      <w:hyperlink w:anchor="sec:2.5">
        <w:r>
          <w:rPr>
            <w:rStyle w:val="Hyperlink"/>
          </w:rPr>
          <w:t xml:space="preserve">2.5</w:t>
        </w:r>
      </w:hyperlink>
      <w:r>
        <w:t xml:space="preserve">, the dispatch loop, the KV-cache policy—lives in the host’s firmware, which the repository ships in two forms: a Go reference model (the co-simulation’s golden implementation) and a C port with static allocation only, no</w:t>
      </w:r>
      <w:r>
        <w:t xml:space="preserve"> </w:t>
      </w:r>
      <w:r>
        <w:rPr>
          <w:rStyle w:val="VerbatimChar"/>
        </w:rPr>
        <w:t xml:space="preserve">malloc</w:t>
      </w:r>
      <w:r>
        <w:t xml:space="preserve">, and no operating-system dependency, so it runs on a Raspberry Pi, on a microcontroller, or on a workstation without change.</w:t>
      </w:r>
    </w:p>
    <w:p>
      <w:pPr>
        <w:pStyle w:val="BodyText"/>
      </w:pPr>
      <w:r>
        <w:t xml:space="preserve">The bridge is the manager for the chassis as a whole, but not necessarily for each gating ASIC: the routing engines on the node boards can be managed locally instead (Section</w:t>
      </w:r>
      <w:r>
        <w:t xml:space="preserve"> </w:t>
      </w:r>
      <w:hyperlink w:anchor="sec:2.17.1">
        <w:r>
          <w:rPr>
            <w:rStyle w:val="Hyperlink"/>
          </w:rPr>
          <w:t xml:space="preserve">2.17.1</w:t>
        </w:r>
      </w:hyperlink>
      <w:r>
        <w:t xml:space="preserve">).</w:t>
      </w:r>
    </w:p>
    <w:p>
      <w:pPr>
        <w:pStyle w:val="BodyText"/>
      </w:pPr>
      <w:r>
        <w:t xml:space="preserve">This placement is a deliberate consequence of where the work actually is. The bridge’s data path is fixed-function and needs no programmability: the flit builder and the CRC-16/CCITT-FALSE are hardware, and the host writes their operands through a small register window. What the bridge does need is sequencing, and sequencing is exactly what a host already has. Keeping the processor off the bridge therefore removes a whole class of silicon—the boot ROM, the timer, the console, the interrupt controller, and the memory-management assumptions an OS would impose—without removing any function the fabric needs, and it makes the bridge attachable to whatever the deployment already has: a Raspberry Pi over SPI, or any third-party microcontroller over a byte-level host link with the same register and framing semantics.</w:t>
      </w:r>
    </w:p>
    <w:p>
      <w:pPr>
        <w:pStyle w:val="BodyText"/>
      </w:pPr>
      <w:r>
        <w:t xml:space="preserve">The host link is deliberately the simplest thing that can carry the job. The bridge exposes a 32-bit register window and a byte-stream flit path; a host writes the routing tables and the weight blobs, triggers an injection, and reads back the status counters and the extracted result bytes. The repository’s SPI adapter (pi_bridge.v) is one instantiation of that link for a Raspberry Pi, and the C port of the firmware is the host-side counterpart. The protocol is a sequence of register writes and a framed byte stream—no descriptor rings, no interrupts, no cache coherency, and nothing that would need an OS to drive it.</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host, not on any node PE. The host compiles R/Haskell/HLSL source to typed IR (the existing CompileR/CompileHaskell/CompileHLSL pipeline), and the host’s firmware schedules the resulting program over the host link. This placement follows from three constraints. First, the compiler’s IR lowering stage needs visibility into the full chassis topology—which nodes hold which compute units, which routing patterns connect them—and only the host-side compiler has it. Second, the lowering is a compiler, and compilers run where the source language’s toolchain runs. Third, keeping the transpiler off the bridge means the bridge’s silicon stays a fixed function: adding a hosted-language runtime would make the bridge a general-purpose processor again, which is precisely what this design removes.</w:t>
      </w:r>
    </w:p>
    <w:p>
      <w:pPr>
        <w:pStyle w:val="BodyText"/>
      </w:pPr>
      <w:r>
        <w:t xml:space="preserve">The register window is small and flat: the flit-builder command registers (destination, length, payload byte, trigger), the status and counter registers, the result byte, and a 64 KB staging SRAM. The host copies weight bytes through the window; the behavioral LPCAMM2/LPDDR6 module model (lpddr6_camm.v) is exercised by the node-local testbenches, and a DMA engine onto it is not yet part of the bridge.</w:t>
      </w:r>
    </w:p>
    <w:p>
      <w:pPr>
        <w:pStyle w:val="BodyText"/>
      </w:pPr>
      <w:r>
        <w:t xml:space="preserve">The design is verified by a self-checking testbench (tb_pnm_host_bridge.v): the testbench plays the host, writes the routing and payload registers, and checks that the chip emits a byte-exact wormhole flit—header, payload, CRC-16 over the protected body, and SOP/EOP framing—and that the result path and the dispatch counters read back correctly. The host link itself is verified by a second testbench (tb_host_bmc.v) that drives the same bridge from a Raspberry Pi model over the SPI adapter, through the two-port arbiter (pnm_arb), and checks that the register writes land and the responses return.</w:t>
      </w:r>
    </w:p>
    <w:bookmarkStart w:id="58" w:name="sec:2.17.1"/>
    <w:p>
      <w:pPr>
        <w:pStyle w:val="Heading3"/>
      </w:pPr>
      <w:r>
        <w:t xml:space="preserve">2.17.1 Two managers for the gating ASIC</w:t>
      </w:r>
    </w:p>
    <w:p>
      <w:pPr>
        <w:pStyle w:val="FirstParagraph"/>
      </w:pPr>
      <w:r>
        <w:t xml:space="preserve">The gating ASIC is a per-node device: it holds the router weights and produces the expert decision for each token that lands on its node. Who manages it is a board-level choice, and the silicon supports both because the decision path and the management path are separate.</w:t>
      </w:r>
    </w:p>
    <w:p>
      <w:pPr>
        <w:pStyle w:val="BodyText"/>
      </w:pPr>
      <w:r>
        <w:t xml:space="preserve">In mode A an embedded management node sits on the node board: an MCU or a Raspberry Pi Compute Module on a mezzanine header beside the gating ASIC. It drives the gating ASIC’s register port directly, and it is also a master of the node’s NoB, so it can reach the memory behind the node. It therefore programs the gating weights once during machine setup, then reads each token’s hidden state out of local DRAM, presents it to the gating ASIC, and takes the decision locally. The per-token routing decision never leaves the board: it costs a local register write, a local memory read, and a local register read, and the token’s data path is untouched. The node’s firmware, the board’s glue between the management node, the gating ASIC, and the fabric, and the decision’s read-back are all machine-checked (Section</w:t>
      </w:r>
      <w:r>
        <w:t xml:space="preserve"> </w:t>
      </w:r>
      <w:hyperlink w:anchor="sec:3.5">
        <w:r>
          <w:rPr>
            <w:rStyle w:val="Hyperlink"/>
          </w:rPr>
          <w:t xml:space="preserve">3.5</w:t>
        </w:r>
      </w:hyperlink>
      <w:r>
        <w:t xml:space="preserve">).</w:t>
      </w:r>
    </w:p>
    <w:p>
      <w:pPr>
        <w:pStyle w:val="BodyText"/>
      </w:pPr>
      <w:r>
        <w:t xml:space="preserve">In mode B the host owns the whole machine. The host’s gating programming is streamed over the fabric to the gating ASIC, whose fabric-side receiver decodes it into the same register map the embedded node uses. This is the mode the host-driven bridge of Section</w:t>
      </w:r>
      <w:r>
        <w:t xml:space="preserve"> </w:t>
      </w:r>
      <w:hyperlink w:anchor="sec:2.17">
        <w:r>
          <w:rPr>
            <w:rStyle w:val="Hyperlink"/>
          </w:rPr>
          <w:t xml:space="preserve">2.17</w:t>
        </w:r>
      </w:hyperlink>
      <w:r>
        <w:t xml:space="preserve"> </w:t>
      </w:r>
      <w:r>
        <w:t xml:space="preserve">is built for, and it is the flexible one: the host can reprogram the router of any node at any time, and the same host firmware drives a Pi, a microcontroller, or a workstation. The shipped receiver is write-only: the programming path is complete, and the fabric-side read-back of the decision is the remaining piece of work, so a mode-B manager today reads the decision from the chip’s local output wires rather than over the fabric.</w:t>
      </w:r>
    </w:p>
    <w:p>
      <w:pPr>
        <w:pStyle w:val="BodyText"/>
      </w:pPr>
      <w:r>
        <w:t xml:space="preserve">The two modes are the same die. A strapping pin on the node board selects the manager, and the register map, the weight format, the top-</w:t>
      </w:r>
      <m:oMath>
        <m:r>
          <m:t>k</m:t>
        </m:r>
      </m:oMath>
      <w:r>
        <w:t xml:space="preserve"> </w:t>
      </w:r>
      <w:r>
        <w:t xml:space="preserve">selection, and the decision values are identical either way; a self-checking testbench (tb_gating_modes.v) programs the same weights and the same hidden state through each path and requires the same decision.</w:t>
      </w:r>
    </w:p>
    <w:p>
      <w:pPr>
        <w:pStyle w:val="BodyText"/>
      </w:pPr>
      <w:r>
        <w:t xml:space="preserve">The difference is in what crosses the fabric. In mode A the gating weights never touch it: the management node loads them into the ASIC once, locally, and each token’s decision is a local register read. In mode B the host must push the 0.7 MB of weights across once per layer at setup and, thereafter, push each token’s 5.6 KB hidden vector in per layer, with the decision returned to the host. Against the roughly 2.2 MB a token’s own dispatches generate (Section</w:t>
      </w:r>
      <w:r>
        <w:t xml:space="preserve"> </w:t>
      </w:r>
      <w:hyperlink w:anchor="sec:2.1">
        <w:r>
          <w:rPr>
            <w:rStyle w:val="Hyperlink"/>
          </w:rPr>
          <w:t xml:space="preserve">2.1</w:t>
        </w:r>
      </w:hyperlink>
      <w:r>
        <w:t xml:space="preserve">), that per-token management traffic is under ten percent: the honest case for mode A is architectural rather than bandwidth-critical—the decision is made and acted on where the token already is, so it never becomes fabric traffic at all, and the node does not depend on the host to route it.</w:t>
      </w:r>
    </w:p>
    <w:bookmarkEnd w:id="58"/>
    <w:bookmarkEnd w:id="59"/>
    <w:bookmarkStart w:id="60"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60"/>
    <w:bookmarkStart w:id="61"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1"/>
    <w:bookmarkStart w:id="62"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 rank window that returns every top-</w:t>
      </w:r>
      <m:oMath>
        <m:r>
          <m:t>k</m:t>
        </m:r>
      </m:oMath>
      <w:r>
        <w:t xml:space="preserve"> </w:t>
      </w:r>
      <w:r>
        <w:t xml:space="preserve">id and logit, and a logit-peek window that returns any of the 128 expert logits, so the manager reads the full routing decision back over the register interface rather than re-deriving it in software. That bus has two masters (Section</w:t>
      </w:r>
      <w:r>
        <w:t xml:space="preserve"> </w:t>
      </w:r>
      <w:hyperlink w:anchor="sec:2.17.1">
        <w:r>
          <w:rPr>
            <w:rStyle w:val="Hyperlink"/>
          </w:rPr>
          <w:t xml:space="preserve">2.17.1</w:t>
        </w:r>
      </w:hyperlink>
      <w:r>
        <w:t xml:space="preserve">): the embedded management node on the node board drives it locally, or the host’s programming arrives over the fabric and is decoded into the same register map, and a strapping pin on the board chooses between them.</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2"/>
    <w:bookmarkEnd w:id="63"/>
    <w:bookmarkStart w:id="82"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6"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4"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4"/>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5"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5"/>
    <w:bookmarkEnd w:id="66"/>
    <w:bookmarkStart w:id="71"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70" w:name="fig:roofline"/>
    <w:p>
      <w:pPr>
        <w:pStyle w:val="CaptionedFigure"/>
      </w:pPr>
      <w:r>
        <w:drawing>
          <wp:inline>
            <wp:extent cx="5270436" cy="3092418"/>
            <wp:effectExtent b="0" l="0" r="0" t="0"/>
            <wp:docPr descr="" title="" id="68" name="Picture"/>
            <a:graphic>
              <a:graphicData uri="http://schemas.openxmlformats.org/drawingml/2006/picture">
                <pic:pic>
                  <pic:nvPicPr>
                    <pic:cNvPr descr="figures/fig_roofline.png" id="69" name="Picture"/>
                    <pic:cNvPicPr>
                      <a:picLocks noChangeArrowheads="1" noChangeAspect="1"/>
                    </pic:cNvPicPr>
                  </pic:nvPicPr>
                  <pic:blipFill>
                    <a:blip r:embed="rId67"/>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70"/>
    <w:bookmarkEnd w:id="71"/>
    <w:bookmarkStart w:id="72"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2"/>
    <w:bookmarkStart w:id="73"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3"/>
    <w:bookmarkStart w:id="78"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7" w:name="fig:latency"/>
    <w:p>
      <w:pPr>
        <w:pStyle w:val="CaptionedFigure"/>
      </w:pPr>
      <w:r>
        <w:drawing>
          <wp:inline>
            <wp:extent cx="5178536" cy="2660490"/>
            <wp:effectExtent b="0" l="0" r="0" t="0"/>
            <wp:docPr descr="" title="" id="75" name="Picture"/>
            <a:graphic>
              <a:graphicData uri="http://schemas.openxmlformats.org/drawingml/2006/picture">
                <pic:pic>
                  <pic:nvPicPr>
                    <pic:cNvPr descr="figures/fig_latency.png" id="76" name="Picture"/>
                    <pic:cNvPicPr>
                      <a:picLocks noChangeArrowheads="1" noChangeAspect="1"/>
                    </pic:cNvPicPr>
                  </pic:nvPicPr>
                  <pic:blipFill>
                    <a:blip r:embed="rId74"/>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7"/>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6">
        <w:r>
          <w:rPr>
            <w:rStyle w:val="Hyperlink"/>
          </w:rPr>
          <w:t xml:space="preserve">2.16</w:t>
        </w:r>
      </w:hyperlink>
      <w:r>
        <w:t xml:space="preserve">–2.17.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reference harness itself is not shipped; the repository test asserts the same token ids):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16-wide slice of the checkpoint’s layer-0 weights runs a real decoder block (attention, KV, dense MLP, top-2 MoE) that reproduces the corresponding BF16 reference word for word, and the gating ASIC’s top-1 decision dispatched as one fabric flit lands on the node and matches the software BF16 twin—so the router, the fabric, and the compute ASIC are verified as one composed pipeline rather than three separate pieces.</w:t>
      </w:r>
    </w:p>
    <w:bookmarkEnd w:id="78"/>
    <w:bookmarkStart w:id="80"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9"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9"/>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bridge is a second, distinct die: a CPU-less bridge that owns the chassis management plane (Section</w:t>
      </w:r>
      <w:r>
        <w:t xml:space="preserve"> </w:t>
      </w:r>
      <w:hyperlink w:anchor="sec:2.17">
        <w:r>
          <w:rPr>
            <w:rStyle w:val="Hyperlink"/>
          </w:rPr>
          <w:t xml:space="preserve">2.17</w:t>
        </w:r>
      </w:hyperlink>
      <w:r>
        <w:t xml:space="preserve">). Unlike the compute nodes, which are fixed-function MAC ASICs, the bridge is programmable—but by the host, not by itself: it accepts the host’s routing tables, weight blobs, and dispatch commands over a host link (Section</w:t>
      </w:r>
      <w:r>
        <w:t xml:space="preserve"> </w:t>
      </w:r>
      <w:hyperlink w:anchor="sec:4.2">
        <w:r>
          <w:rPr>
            <w:rStyle w:val="Hyperlink"/>
          </w:rPr>
          <w:t xml:space="preserve">4.2</w:t>
        </w:r>
      </w:hyperlink>
      <w:r>
        <w:t xml:space="preserve">), performs the topology discovery and gating that the host’s firmware drives it through, and injects the resulting flits into the fabric. The host runs the bridge’s firmware, so the same silicon serves a Raspberry Pi, a microcontroller, or a workstation without change. The bridge die is smaller than the compute die (no MAC array, no 192-bit LPDDR6 PHY, no processor, no boot ROM, and no timer), uses the same mature-node process, carries a 64 KB staging SRAM,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80"/>
    <w:bookmarkStart w:id="81"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1"/>
    <w:bookmarkEnd w:id="82"/>
    <w:bookmarkStart w:id="89" w:name="sec:discussion"/>
    <w:p>
      <w:pPr>
        <w:pStyle w:val="Heading1"/>
      </w:pPr>
      <w:r>
        <w:t xml:space="preserve">Discussion</w:t>
      </w:r>
    </w:p>
    <w:bookmarkStart w:id="83"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3"/>
    <w:bookmarkStart w:id="84" w:name="sec:4.2"/>
    <w:p>
      <w:pPr>
        <w:pStyle w:val="Heading2"/>
      </w:pPr>
      <w:r>
        <w:t xml:space="preserve">4.2 Host interface and I/O</w:t>
      </w:r>
    </w:p>
    <w:p>
      <w:pPr>
        <w:pStyle w:val="FirstParagraph"/>
      </w:pPr>
      <w:r>
        <w:t xml:space="preserve">The host attaches to the central router bridge over a byte-level host link—SPI on a Raspberry Pi, or the same protocol from a microcontroller—and a workstation host reaches the same window over PCIe.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The weight-upload bound of Section</w:t>
      </w:r>
      <w:r>
        <w:t xml:space="preserve"> </w:t>
      </w:r>
      <w:hyperlink w:anchor="sec:2.5">
        <w:r>
          <w:rPr>
            <w:rStyle w:val="Hyperlink"/>
          </w:rPr>
          <w:t xml:space="preserve">2.5</w:t>
        </w:r>
      </w:hyperlink>
      <w:r>
        <w:t xml:space="preserve"> </w:t>
      </w:r>
      <w:r>
        <w:t xml:space="preserve">is set by this uplink, and a link of</w:t>
      </w:r>
      <w:r>
        <w:t xml:space="preserve"> </w:t>
      </w:r>
      <m:oMath>
        <m:r>
          <m:t>B</m:t>
        </m:r>
      </m:oMath>
      <w:r>
        <w:t xml:space="preserve"> </w:t>
      </w:r>
      <w:r>
        <w:t xml:space="preserve">bytes per second uploads 64 TB in</w:t>
      </w:r>
      <w:r>
        <w:t xml:space="preserve"> </w:t>
      </w:r>
      <m:oMath>
        <m:r>
          <m:t>64</m:t>
        </m:r>
        <m:r>
          <m:rPr>
            <m:sty m:val="p"/>
          </m:rPr>
          <m:t>×</m:t>
        </m:r>
        <m:sSup>
          <m:e>
            <m:r>
              <m:t>10</m:t>
            </m:r>
          </m:e>
          <m:sup>
            <m:r>
              <m:t>12</m:t>
            </m:r>
          </m:sup>
        </m:sSup>
        <m:r>
          <m:rPr>
            <m:sty m:val="p"/>
          </m:rPr>
          <m:t>/</m:t>
        </m:r>
        <m:r>
          <m:t>B</m:t>
        </m:r>
      </m:oMath>
      <w:r>
        <w:t xml:space="preserve"> </w:t>
      </w:r>
      <w:r>
        <w:t xml:space="preserve">seconds.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4"/>
    <w:bookmarkStart w:id="85"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5"/>
    <w:bookmarkStart w:id="86"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host bridge map to technology-independent cells (23 to 3,519 cells for the routing and compute blocks,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needs roughly 0.7 MB of projector weights, which is the weight store the shipped gating ASIC provides, so only the gating evaluation latency is a projection.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a real-checkpoint numeric forward pass that is greedy-token-identical to a BF16 reference on the tested prompts; and a bit-exact integrated compute datapath—the gating ASIC’s decision dispatched as one fabric flit, the node MAC running that expert, a full decoder block against a BF16 reference, and the chain of all three across model layers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6"/>
    <w:bookmarkStart w:id="87"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7"/>
    <w:bookmarkStart w:id="88" w:name="sec:4.6"/>
    <w:p>
      <w:pPr>
        <w:pStyle w:val="Heading2"/>
      </w:pPr>
      <w:r>
        <w:t xml:space="preserve">4.6 Design-for-test and manufacturing readiness</w:t>
      </w:r>
    </w:p>
    <w:p>
      <w:pPr>
        <w:pStyle w:val="FirstParagraph"/>
      </w:pPr>
      <w:r>
        <w:t xml:space="preserve">Design-for-test follows the same concentration principle. Both dies’ clock-gating cells carry a scan-mode override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The PHY blocks self-test through loopback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8"/>
    <w:bookmarkEnd w:id="89"/>
    <w:bookmarkStart w:id="90"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CPU-less router bridge at the spine root provides the management plane on a single socketed, cold-swappable die; the host—a Raspberry Pi, a microcontroller, or a workstation—runs its firmware, so the same silicon serves every deployment.</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90"/>
    <w:bookmarkStart w:id="91"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2026-10-21T08:47:26Z</dcterms:created>
  <dcterms:modified xsi:type="dcterms:W3CDTF">2026-10-21T08:47:26Z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