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3.png" ContentType="image/png"/>
  <Override PartName="/word/media/rId39.png" ContentType="image/png"/>
  <Override PartName="/word/media/rId6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RISC-V BMC/router chip handling topology discovery, workload dispatch, and host PCIe</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and cycle-exact closed-form latency on a 100 MHz behavioral co-simulation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RISC-V router-chip family, with matching Go and C firmware twins, the model compiler, PCB and assembly models, and a reproducible test suite in the companion repository</w:t>
      </w:r>
      <w:r>
        <w:t xml:space="preserve">.</w:t>
      </w:r>
    </w:p>
    <w:bookmarkEnd w:id="26"/>
    <w:bookmarkEnd w:id="27"/>
    <w:bookmarkStart w:id="62"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exclusively on the router chip,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PCIe into its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w:t>
      </w:r>
      <w:r>
        <w:t xml:space="preserve"> </w:t>
      </w:r>
      <m:oMath>
        <m:r>
          <m:t>0.3</m:t>
        </m:r>
      </m:oMath>
      <w:r>
        <w:t xml:space="preserve">–1 MB of weights—5–15</w:t>
      </w:r>
      <m:oMath>
        <m:r>
          <m:rPr>
            <m:sty m:val="p"/>
          </m:rPr>
          <m:t>×</m:t>
        </m:r>
      </m:oMath>
      <w:r>
        <w:t xml:space="preserve"> </w:t>
      </w:r>
      <w:r>
        <w:t xml:space="preserve">the router’s dedicated 64 KB gating SRAM (32K BF16 entries)—so learned-router sizing and its per-token evaluation latency are projections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w:t>
      </w:r>
    </w:p>
    <w:p>
      <w:pPr>
        <w:pStyle w:val="BodyText"/>
      </w:pPr>
      <w:r>
        <w:t xml:space="preserve">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8"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seL4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seL4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issuing 270 fabric dispatches per generated token at the sustained dispatch rates of Section</w:t>
      </w:r>
      <w:r>
        <w:t xml:space="preserve"> </w:t>
      </w:r>
      <w:hyperlink w:anchor="sec:2.8">
        <w:r>
          <w:rPr>
            <w:rStyle w:val="Hyperlink"/>
          </w:rPr>
          <w:t xml:space="preserve">2.8</w:t>
        </w:r>
      </w:hyperlink>
      <w:r>
        <w:t xml:space="preserve"> </w:t>
      </w:r>
      <w:r>
        <w:t xml:space="preserve">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OS images themselves are in the repository (a trimmed NOMMU Linux with a bare-metal init, and a seL4 root task), and they build; they do not yet boot on the proof-of-concept core, which does not implement the JAL/JALR link store, so no compiler-generated code runs on it yet. That gap is machine-checked rather than assumed: a testbench executes the Linux init binary on the chip’s own core and UART models (HDL/tb_linux_init.v) and checks its boot banner. The C firmware port targets both deployment modes: bare-metal static allocation for deterministic boot-time behavior, and a NOMMU Linux userspace daemon for operational flexibility.</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five-stage RV32IMA design (Fetch through Writeback) with the M extension for single-cycle multiplication and Zicsr machine-mode CSRs; it implements ECALL, EBREAK, and MRET trap handling with a combinational fetch address for zero-cycle ROM access. Multi-cycle memory accesses use a two-phase address/ready handshake so timing is correct across all peripheral types, and the ALU is fully combinational with a dedicated operand multiplexer.</w:t>
      </w:r>
    </w:p>
    <w:p>
      <w:pPr>
        <w:pStyle w:val="BodyText"/>
      </w:pPr>
      <w:r>
        <w:t xml:space="preserve">The memory map partitions the 32-bit address space into five regions: boot ROM at 0x0000_0000 (64 KB), UART at 0x1000_0000, CLINT at 0x2000_0000, SRAM at 0x8000_0000 (64 KB), and the PNM router registers at 0xF000_0000. All peripherals use a valid/ready handshake on a shared bus with combinationally decoded slave selects.</w:t>
      </w:r>
    </w:p>
    <w:p>
      <w:pPr>
        <w:pStyle w:val="BodyText"/>
      </w:pPr>
      <w:r>
        <w:t xml:space="preserve">The RTL ships four SoC tiers sharing the CPU and bus fabric, so a deployment scales the management plane without changing firmware structure above the register layer. The BMC tier (bmc_orchestrator_top.v) is the five-region minimal map above. The MCU tier (orchestrator_mcu.v) drops the CLINT for pure bare-metal dispatch loops. The MoE SBC tier (orchestrator_sbc_moe.v) adds a 64 KB BF16 gating SRAM and the moe_gating unit so expert selection runs in silicon next to the dispatcher. The general SBC tier (orchestrator_sbc.v)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(tb_bmc_orchestrator.v, tb_orchestrator_mcu.v, tb_orchestrator_sbc_moe.v, tb_orchestrator_sbc.v).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(a ready/valid bug class the harness’s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orchestrator_chip.v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(tb_bmc_orchestrator.v)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higher selectors pass through as raw byte offsets into an extended window holding a DMA engine (target address, transfer word count, start/read/done control, and a FIFO data port).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58"/>
    <w:bookmarkStart w:id="59"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59"/>
    <w:bookmarkStart w:id="60"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0"/>
    <w:bookmarkStart w:id="61"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and a logit-peek window that returns any of the 128 expert logits, so the host reads the full routing decision back over the register interface rather than re-deriving it in software.</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1"/>
    <w:bookmarkEnd w:id="62"/>
    <w:bookmarkStart w:id="81"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5"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3"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3"/>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4"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4"/>
    <w:bookmarkEnd w:id="65"/>
    <w:bookmarkStart w:id="70"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69" w:name="fig:roofline"/>
    <w:p>
      <w:pPr>
        <w:pStyle w:val="CaptionedFigure"/>
      </w:pPr>
      <w:r>
        <w:drawing>
          <wp:inline>
            <wp:extent cx="5270436" cy="3092418"/>
            <wp:effectExtent b="0" l="0" r="0" t="0"/>
            <wp:docPr descr="" title="" id="67" name="Picture"/>
            <a:graphic>
              <a:graphicData uri="http://schemas.openxmlformats.org/drawingml/2006/picture">
                <pic:pic>
                  <pic:nvPicPr>
                    <pic:cNvPr descr="figures/fig_roofline.png" id="68" name="Picture"/>
                    <pic:cNvPicPr>
                      <a:picLocks noChangeArrowheads="1" noChangeAspect="1"/>
                    </pic:cNvPicPr>
                  </pic:nvPicPr>
                  <pic:blipFill>
                    <a:blip r:embed="rId66"/>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69"/>
    <w:bookmarkEnd w:id="70"/>
    <w:bookmarkStart w:id="71"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1"/>
    <w:bookmarkStart w:id="72"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2"/>
    <w:bookmarkStart w:id="77"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6" w:name="fig:latency"/>
    <w:p>
      <w:pPr>
        <w:pStyle w:val="CaptionedFigure"/>
      </w:pPr>
      <w:r>
        <w:drawing>
          <wp:inline>
            <wp:extent cx="5178536" cy="2660490"/>
            <wp:effectExtent b="0" l="0" r="0" t="0"/>
            <wp:docPr descr="" title="" id="74" name="Picture"/>
            <a:graphic>
              <a:graphicData uri="http://schemas.openxmlformats.org/drawingml/2006/picture">
                <pic:pic>
                  <pic:nvPicPr>
                    <pic:cNvPr descr="figures/fig_latency.png" id="75" name="Picture"/>
                    <pic:cNvPicPr>
                      <a:picLocks noChangeArrowheads="1" noChangeAspect="1"/>
                    </pic:cNvPicPr>
                  </pic:nvPicPr>
                  <pic:blipFill>
                    <a:blip r:embed="rId73"/>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6"/>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real decoder block (attention, KV, dense MLP, top-2 MoE) reproduces the checkpoint’s layer-0 output word for word against a BF16 reference, and the gating ASIC’s top-1 decision dispatched as one fabric flit lands on the node and matches the software BF16 twin—so the router, the fabric, and the compute ASIC are verified as one composed pipeline rather than three separate pieces.</w:t>
      </w:r>
    </w:p>
    <w:bookmarkEnd w:id="77"/>
    <w:bookmarkStart w:id="79"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8"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8"/>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79"/>
    <w:bookmarkStart w:id="80"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0"/>
    <w:bookmarkEnd w:id="81"/>
    <w:bookmarkStart w:id="88" w:name="sec:discussion"/>
    <w:p>
      <w:pPr>
        <w:pStyle w:val="Heading1"/>
      </w:pPr>
      <w:r>
        <w:t xml:space="preserve">Discussion</w:t>
      </w:r>
    </w:p>
    <w:bookmarkStart w:id="82"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2"/>
    <w:bookmarkStart w:id="83"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on-router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and remains well below the</w:t>
      </w:r>
      <w:r>
        <w:t xml:space="preserve"> </w:t>
      </w:r>
      <m:oMath>
        <m:r>
          <m:rPr>
            <m:sty m:val="p"/>
          </m:rPr>
          <m:t>≈</m:t>
        </m:r>
      </m:oMath>
      <w:r>
        <w:t xml:space="preserve">128 GB/s uplink.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3"/>
    <w:bookmarkStart w:id="84"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4"/>
    <w:bookmarkStart w:id="85"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RV32 router core map to technology-independent cells (23 to 3,519 cells for the routing and compute blocks, 16,330 for the core,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would need roughly 0.3–1 MB of projector weights—5–15</w:t>
      </w:r>
      <m:oMath>
        <m:r>
          <m:rPr>
            <m:sty m:val="p"/>
          </m:rPr>
          <m:t>×</m:t>
        </m:r>
      </m:oMath>
      <w:r>
        <w:t xml:space="preserve"> </w:t>
      </w:r>
      <w:r>
        <w:t xml:space="preserve">the 64 KB gating SRAM—so the router sizing and gating evaluation are likewise projections.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(Section</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5"/>
    <w:bookmarkStart w:id="86"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6"/>
    <w:bookmarkStart w:id="87" w:name="sec:4.6"/>
    <w:p>
      <w:pPr>
        <w:pStyle w:val="Heading2"/>
      </w:pPr>
      <w:r>
        <w:t xml:space="preserve">4.6 Design-for-test and manufacturing readiness</w:t>
      </w:r>
    </w:p>
    <w:p>
      <w:pPr>
        <w:pStyle w:val="FirstParagraph"/>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7"/>
    <w:bookmarkEnd w:id="88"/>
    <w:bookmarkStart w:id="89"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targeting Linux and seL4, handling topology discovery, workload dispatch, and host PCIe on a single socketed, cold-swappable die.</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89"/>
    <w:bookmarkStart w:id="90"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2026-10-21T00:21:43Z</dcterms:created>
  <dcterms:modified xsi:type="dcterms:W3CDTF">2026-10-21T00:21:43Z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