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August 23,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advanced lithography behind HBM stacks suffers low yields and extreme power density that no market correction can resolve</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 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131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 The result is bit-exact-reproducible computation with provable deadlock freedom, compile-time latency bounds, and a fraction of the thermal envelope, interposer dependency, and manufacturing complexity of monolithic GPU accelerators.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5"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 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 Second, HBM manufacturing requires extreme ultraviolet (EUV) lithography, which suffers from low yields, high wafer costs, and severe supply constraints</w:t>
      </w:r>
      <w:r>
        <w:t xml:space="preserve">. 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There are no runtime page tables, no dynamic branch prediction, no cache coherency protocols, and no global mutable state anywhere in the system.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End w:id="25"/>
    <w:bookmarkStart w:id="48" w:name="sec:methods"/>
    <w:p>
      <w:pPr>
        <w:pStyle w:val="Heading1"/>
      </w:pPr>
      <w:r>
        <w:t xml:space="preserve">Methods</w:t>
      </w:r>
    </w:p>
    <w:bookmarkStart w:id="26"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at</w:t>
      </w:r>
      <w:r>
        <w:t xml:space="preserve"> </w:t>
      </w:r>
      <m:oMath>
        <m:r>
          <m:rPr>
            <m:sty m:val="p"/>
          </m:rPr>
          <m:t>≈</m:t>
        </m:r>
      </m:oMath>
      <w:r>
        <w:t xml:space="preserve">2 TB/s per direction (</w:t>
      </w:r>
      <m:oMath>
        <m:r>
          <m:rPr>
            <m:sty m:val="p"/>
          </m:rPr>
          <m:t>≈</m:t>
        </m:r>
      </m:oMath>
      <w:r>
        <w:t xml:space="preserve">128 parallel 16 GB/s lanes), which sustains</w:t>
      </w:r>
      <w:r>
        <w:t xml:space="preserve"> </w:t>
      </w:r>
      <m:oMath>
        <m:r>
          <m:rPr>
            <m:sty m:val="p"/>
          </m:rPr>
          <m:t>≈</m:t>
        </m:r>
      </m:oMath>
      <w:r>
        <w:t xml:space="preserve">3</w:t>
      </w:r>
      <m:oMath>
        <m:r>
          <m:rPr>
            <m:sty m:val="p"/>
          </m:rPr>
          <m:t>×</m:t>
        </m:r>
        <m:sSup>
          <m:e>
            <m:r>
              <m:t>10</m:t>
            </m:r>
          </m:e>
          <m:sup>
            <m:r>
              <m:t>8</m:t>
            </m:r>
          </m:sup>
        </m:sSup>
      </m:oMath>
      <w:r>
        <w:t xml:space="preserve"> </w:t>
      </w:r>
      <w:r>
        <w:t xml:space="preserve">tokens/s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tokens/s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End w:id="26"/>
    <w:bookmarkStart w:id="27"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a 128-bit-wide source-synchronous channel at 1 GHz, providing</w:t>
      </w:r>
      <w:r>
        <w:t xml:space="preserve"> </w:t>
      </w:r>
      <m:oMath>
        <m:r>
          <m:rPr>
            <m:sty m:val="p"/>
          </m:rPr>
          <m:t>≈</m:t>
        </m:r>
      </m:oMath>
      <w:r>
        <w:t xml:space="preserve">16 GB/s per link. The HDL sketch and the co-simulation harness model the byte-oriented flit stream at one byte per cycle; because a 128-bit physical link moves sixteen bytes per cycle, the byte-serial model understates per-link bandwidth by 16</w:t>
      </w:r>
      <m:oMath>
        <m:r>
          <m:rPr>
            <m:sty m:val="p"/>
          </m:rPr>
          <m:t>×</m:t>
        </m:r>
      </m:oMath>
      <w:r>
        <w:t xml:space="preserve"> </w:t>
      </w:r>
      <w:r>
        <w:t xml:space="preserve">and is therefore conservative, while preserving the routing-decision logic that is the point of the model. Cross-node traffic is bounded by these 16 GB/s links, which is deliberately separate from the</w:t>
      </w:r>
      <w:r>
        <w:t xml:space="preserve"> </w:t>
      </w:r>
      <m:oMath>
        <m:r>
          <m:rPr>
            <m:sty m:val="p"/>
          </m:rPr>
          <m:t>≈</m:t>
        </m:r>
      </m:oMath>
      <w:r>
        <w:t xml:space="preserve">256 GB/s each node can read from its own memory: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bookmarkEnd w:id="27"/>
    <w:bookmarkStart w:id="28"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28"/>
    <w:bookmarkStart w:id="29" w:name="sec:2.4"/>
    <w:p>
      <w:pPr>
        <w:pStyle w:val="Heading2"/>
      </w:pPr>
      <w:r>
        <w:t xml:space="preserve">2.4 CAMM2 integration, packaging, and sideband signaling</w:t>
      </w:r>
    </w:p>
    <w:p>
      <w:pPr>
        <w:pStyle w:val="FirstParagraph"/>
      </w:pPr>
      <w:r>
        <w:t xml:space="preserve">Each compute node centers on a JEDEC LPDDR6 CAMM2 memory module (the socketable form factor that succeeds JESD318’s LPCAMM2)</w:t>
      </w:r>
      <w:r>
        <w:t xml:space="preserve">. LPDDR6 (JESD209-6) organizes its bus as 24-bit channels, each made of two 12-bit sub-channels; the CAMM2 module is 8</w:t>
      </w:r>
      <m:oMath>
        <m:r>
          <m:rPr>
            <m:sty m:val="p"/>
          </m:rPr>
          <m:t>×</m:t>
        </m:r>
      </m:oMath>
      <w:r>
        <w:t xml:space="preserve">24 bits (four 48-bit channel groups), i.e. a **192-bit** interface. The reference configuration assumes this 192-bit bus at 10.7 Gb/s/pin, yielding</w:t>
      </w:r>
      <w:r>
        <w:t xml:space="preserve"> </w:t>
      </w:r>
      <m:oMath>
        <m:r>
          <m:rPr>
            <m:sty m:val="p"/>
          </m:rPr>
          <m:t>≈</m:t>
        </m:r>
      </m:oMath>
      <w:r>
        <w:t xml:space="preserve">256 GB/s per node.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CAMM2 socket is paired with an adjacent low-profile ASIC socket (land-grid-array or card-edge mezzanine).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p>
      <w:pPr>
        <w:pStyle w:val="BodyText"/>
      </w:pPr>
      <w:r>
        <w:t xml:space="preserve">Table 1. Board-level pin and trace outline (per node; first-order estimates).</w:t>
      </w:r>
    </w:p>
    <w:p>
      <w:pPr>
        <w:pStyle w:val="BodyText"/>
      </w:pPr>
      <w:r>
        <w:t xml:space="preserve">Interface | Pins | Routing</w:t>
      </w:r>
      <w:r>
        <w:t xml:space="preserve"> </w:t>
      </w:r>
      <w:r>
        <w:t xml:space="preserve">CAMM2 socket (LPDDR6, 192-bit) |</w:t>
      </w:r>
      <w:r>
        <w:t xml:space="preserve"> </w:t>
      </w:r>
      <m:oMath>
        <m:r>
          <m:rPr>
            <m:sty m:val="p"/>
          </m:rPr>
          <m:t>≈</m:t>
        </m:r>
      </m:oMath>
      <w:r>
        <w:t xml:space="preserve">600–650 | 192 DQ, 24 DQS pairs, CA/CS/CK, power/ground;</w:t>
      </w:r>
      <w:r>
        <w:t xml:space="preserve"> </w:t>
      </w:r>
      <m:oMath>
        <m:r>
          <m:rPr>
            <m:sty m:val="p"/>
          </m:rPr>
          <m:t>≤</m:t>
        </m:r>
      </m:oMath>
      <w:r>
        <w:t xml:space="preserve">20 mm to the ASIC socket</w:t>
      </w:r>
      <w:r>
        <w:t xml:space="preserve"> </w:t>
      </w:r>
      <w:r>
        <w:t xml:space="preserve">ASIC socket (Variant A) |</w:t>
      </w:r>
      <w:r>
        <w:t xml:space="preserve"> </w:t>
      </w:r>
      <m:oMath>
        <m:r>
          <m:rPr>
            <m:sty m:val="p"/>
          </m:rPr>
          <m:t>≈</m:t>
        </m:r>
      </m:oMath>
      <w:r>
        <w:t xml:space="preserve">800–850 | 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r>
        <w:t xml:space="preserve"> </w:t>
      </w:r>
      <w:r>
        <w:t xml:space="preserve">Sideband header | 6 | 4 signal + ground (+3.3 V); daisy-chained control net up the spine</w:t>
      </w:r>
      <w:r>
        <w:t xml:space="preserve"> </w:t>
      </w:r>
      <w:r>
        <w:t xml:space="preserve">Spine mezzanine | 128</w:t>
      </w:r>
      <w:r>
        <w:t xml:space="preserve"> </w:t>
      </w:r>
      <m:oMath>
        <m:r>
          <m:rPr>
            <m:sty m:val="p"/>
          </m:rPr>
          <m:t>×</m:t>
        </m:r>
      </m:oMath>
      <w:r>
        <w:t xml:space="preserve"> </w:t>
      </w:r>
      <w:r>
        <w:t xml:space="preserve">lanes + control | per-link 128-bit source-synchronous with forwarded clock</w:t>
      </w:r>
    </w:p>
    <w:p>
      <w:pPr>
        <w:pStyle w:val="BodyText"/>
      </w:pPr>
      <w:r>
        <w:t xml:space="preserve">Every trace is impedance-controlled and length-matched within its group. The LPDDR6 escape from the CAMM2 socket to the ASIC socket runs</w:t>
      </w:r>
      <w:r>
        <w:t xml:space="preserve"> </w:t>
      </w:r>
      <m:oMath>
        <m:r>
          <m:rPr>
            <m:sty m:val="p"/>
          </m:rPr>
          <m:t>≤</m:t>
        </m:r>
      </m:oMath>
      <w:r>
        <w:t xml:space="preserve">20 mm on dedicated DDR routing layers as a tightly matched bundle—the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29"/>
    <w:bookmarkStart w:id="30"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per-link bandwidth (</w:t>
      </w:r>
      <m:oMath>
        <m:r>
          <m:rPr>
            <m:sty m:val="p"/>
          </m:rPr>
          <m:t>≈</m:t>
        </m:r>
      </m:oMath>
      <w:r>
        <w:t xml:space="preserve">256 GB/s from LPDDR6 CAMM2),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Each entry is an 11-bit routing bitmap: bits [10:7] hold the 4-bit Layer ID (1-based), bit [6] selects the AXIS (0 = X, 1 = Y), bit [5] selects the SIGN (0 = +, 1 =</w:t>
      </w:r>
      <w:r>
        <w:t xml:space="preserve"> </w:t>
      </w:r>
      <m:oMath>
        <m:r>
          <m:rPr>
            <m:sty m:val="p"/>
          </m:rPr>
          <m:t>−</m:t>
        </m:r>
      </m:oMath>
      <w:r>
        <w:t xml:space="preserve">), and bits [4:0] hold the hop distance from the lxy_repeater.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under ten minutes at uplink line rate; the reference design also supports per-node boot flash on the sideband header (roughly two minutes through 512 parallel streams).</w:t>
      </w:r>
    </w:p>
    <w:p>
      <w:pPr>
        <w:pStyle w:val="BodyText"/>
      </w:pPr>
      <w:r>
        <w:t xml:space="preserve">Phase 4: MOE_LOAD. The router loads the MoE gating network weights into its own SRAM. These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not distributed to compute nodes: the gating network lives exclusively on the router chip, which evaluates it at runtime to determine which expert handles each token. The gating projector is compact (</w:t>
      </w:r>
      <m:oMath>
        <m:r>
          <m:t>128</m:t>
        </m:r>
      </m:oMath>
      <w:r>
        <w:t xml:space="preserve"> </w:t>
      </w:r>
      <w:r>
        <w:t xml:space="preserve">experts</w:t>
      </w:r>
      <w:r>
        <w:t xml:space="preserve"> </w:t>
      </w:r>
      <m:oMath>
        <m:r>
          <m:rPr>
            <m:sty m:val="p"/>
          </m:rPr>
          <m:t>×</m:t>
        </m:r>
      </m:oMath>
      <w:r>
        <w:t xml:space="preserve"> </w:t>
      </w:r>
      <w:r>
        <w:t xml:space="preserve">a small projection head, a few tens of KB at BF16) and fits entirely in the router’s dedicated 64 KB gating SRAM (32K BF16 entries). In the co-simulation, this phase records the weights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bitmaps at 6 bytes each via sideband), weight upload in</w:t>
      </w:r>
      <w:r>
        <w:t xml:space="preserve"> </w:t>
      </w:r>
      <m:oMath>
        <m:r>
          <m:rPr>
            <m:sty m:val="p"/>
          </m:rPr>
          <m:t>&lt;</m:t>
        </m:r>
      </m:oMath>
      <w:r>
        <w:t xml:space="preserve">10 min (64 TB at uplink line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0"/>
    <w:bookmarkStart w:id="31"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 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least-recently-used eviction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 at the full 256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1"/>
    <w:bookmarkStart w:id="32"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 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single expert’s weights at BF16 for a 70B-class model occupy on the order of 70–80 GB, fitting one node with headroom for KV cache and activation buffers.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 The KV budget per node is 80% of the 128 GB capacity, capped at 16,384 entries (a 16K context window). If the budget is exhausted, the firmware evicts the least-recently-used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w:t>
      </w:r>
    </w:p>
    <w:p>
      <w:pPr>
        <w:pStyle w:val="BodyText"/>
      </w:pPr>
      <w:r>
        <w:t xml:space="preserve">The compilation model has a second, less obvious consequence: because every weight is statically assigned to a fixed coordinate, and every route is a deterministic function of that coordinate, the compiler can reason about the entire machine’s state at compile time. There are no runtime page faults, no TLB misses, no cache coherence invalidations, and no operating-system context switches. The weight loading phase (Section</w:t>
      </w:r>
      <w:r>
        <w:t xml:space="preserve"> </w:t>
      </w:r>
      <w:hyperlink w:anchor="sec:2.5">
        <w:r>
          <w:rPr>
            <w:rStyle w:val="Hyperlink"/>
          </w:rPr>
          <w:t xml:space="preserve">2.5</w:t>
        </w:r>
      </w:hyperlink>
      <w:r>
        <w:t xml:space="preserve">) is a one-time DMA burst that fills each node’s LPDDR6 bank; once loaded, weights never move. When a token arrives at a node, the doorbell fires, the MAC reads weights from the local bank at the full 256 GB/s bus rate, and the result is returned. The compiler has already verified that the weight dimensions fit the node, that the route is valid, that the latency budget is sufficient, and that no buffer will overflow. The hardware merely executes what the compiler proved correct.</w:t>
      </w:r>
    </w:p>
    <w:p>
      <w:pPr>
        <w:pStyle w:val="BodyText"/>
      </w:pPr>
      <w:r>
        <w:t xml:space="preserve">The source-language front ends (Section</w:t>
      </w:r>
      <w:r>
        <w:t xml:space="preserve"> </w:t>
      </w:r>
      <w:hyperlink w:anchor="sec:2.6">
        <w:r>
          <w:rPr>
            <w:rStyle w:val="Hyperlink"/>
          </w:rPr>
          <w:t xml:space="preserve">2.6</w:t>
        </w:r>
      </w:hyperlink>
      <w:r>
        <w:t xml:space="preserve">) feed into this pipeline: the R and Haskell compilers emit FP64 IR that the kernel mapper assigns to fp64_fma units, while the HLSL compiler emits FP32 ALU IR that the mapper assigns to fp32_alu units. The mapper also handles BF16 and FP16 FMA operations for transformer inference (Section</w:t>
      </w:r>
      <w:r>
        <w:t xml:space="preserve"> </w:t>
      </w:r>
      <w:hyperlink w:anchor="sec:2.12">
        <w:r>
          <w:rPr>
            <w:rStyle w:val="Hyperlink"/>
          </w:rPr>
          <w:t xml:space="preserve">2.12</w:t>
        </w:r>
      </w:hyperlink>
      <w:r>
        <w:t xml:space="preserve">), INT8 MAC operations for quantized inference, and systolic array operations for attention QKV projections. The kernel set is deliberately small and fixed: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compiler’s kernel mapping is a many-to-one function—many tensor operations map to the same kernel type, differing only in their weight dimensions—and the hardware executes them all identically.</w:t>
      </w:r>
    </w:p>
    <w:bookmarkEnd w:id="32"/>
    <w:bookmarkStart w:id="33"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11-bit routing bitmaps for every node (bits [10:7] hold the 1-based Layer ID shifted left by 7, bits [4:0] hold the Y-distance from the lxy_repeater),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tokens/s depending on expert placement—comparable to what 131 TB/s of node-local memory can serve, and far below the router’s raw decision capacity. Optional per-layer dispatch replicas scale the decision rate linearly and remain deterministic because the routing function is pure; they do not raise the fabric-bound ceiling.</w:t>
      </w:r>
    </w:p>
    <w:bookmarkEnd w:id="33"/>
    <w:bookmarkStart w:id="34"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w:t>
      </w:r>
    </w:p>
    <w:p>
      <w:pPr>
        <w:pStyle w:val="BodyText"/>
      </w:pPr>
      <w:r>
        <w:t xml:space="preserve">Every node—whether a MAC node or a repeater serving a CAMM slot—runs the same hardwired three-phase doorbell discipline.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End w:id="34"/>
    <w:bookmarkStart w:id="35" w:name="sec:2.10"/>
    <w:p>
      <w:pPr>
        <w:pStyle w:val="Heading2"/>
      </w:pPr>
      <w:r>
        <w:t xml:space="preserve">2.10 Reliability and determinism</w:t>
      </w:r>
    </w:p>
    <w:p>
      <w:pPr>
        <w:pStyle w:val="FirstParagraph"/>
      </w:pPr>
      <w:r>
        <w:t xml:space="preserve">LPDDR6 provides on-die ECC; the MAC ASIC’s memory controller adds conventional SECDED on the bus. Every fabric link carries a link-local CRC per flit that covers the full flit including its routing header bytes, so a bit error that would corrupt a route decision is detected before the consuming gate strips its header byte; a corrupt flit is discarded at the boundary rather than misrouted. Every message additionally carries an end-to-end CRC per message over the protected body—[CTRL, DEST, LEN, payload]—and the destination DMA refuses the doorbell unless the protected destination matches its own coordinate (Section</w:t>
      </w:r>
      <w:r>
        <w:t xml:space="preserve"> </w:t>
      </w:r>
      <w:hyperlink w:anchor="sec:2.9">
        <w:r>
          <w:rPr>
            <w:rStyle w:val="Hyperlink"/>
          </w:rPr>
          <w:t xml:space="preserve">2.9</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35"/>
    <w:bookmarkStart w:id="38" w:name="sec:2.11"/>
    <w:p>
      <w:pPr>
        <w:pStyle w:val="Heading2"/>
      </w:pPr>
      <w:r>
        <w:t xml:space="preserve">2.11 Target Workloads</w:t>
      </w:r>
    </w:p>
    <w:bookmarkStart w:id="36"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36"/>
    <w:bookmarkStart w:id="37" w:name="sec:2.11.2"/>
    <w:p>
      <w:pPr>
        <w:pStyle w:val="Heading3"/>
      </w:pPr>
      <w:r>
        <w:t xml:space="preserve">2.11.2 Routing designs by use case</w:t>
      </w:r>
    </w:p>
    <w:p>
      <w:pPr>
        <w:pStyle w:val="FirstParagraph"/>
      </w:pPr>
      <w:r>
        <w:t xml:space="preserve">The fabric supports four routing patterns, selected by the AOT compiler based on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7"/>
    <w:bookmarkEnd w:id="38"/>
    <w:bookmarkStart w:id="39"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256 GB/s memory bandwidth.</w:t>
      </w:r>
    </w:p>
    <w:p>
      <w:pPr>
        <w:pStyle w:val="BodyText"/>
      </w:pPr>
      <w:r>
        <w:t xml:space="preserve">The KV cache is distributed across the attention nodes: on every node that holds attention Q tensors, the compiler reserves 80% of the 128 GB capacity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39"/>
    <w:bookmarkStart w:id="40"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40"/>
    <w:bookmarkStart w:id="41"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41"/>
    <w:bookmarkStart w:id="42"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 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 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 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 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42"/>
    <w:bookmarkStart w:id="43"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256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The 192-bit interface is four 48-bit channel groups, i.e. eight 24-bit LPDDR6 channels of two 12-bit sub-channels each—sixteen independent sub-channels on one module. Each sub-channel owns its own bank array, command path, and strobes, so the controller can keep up to sixteen rows open simultaneously and interleave transfers across them. This independence is the entire trick: with sixteen sub-channels in flight, the controller hides the two inherently serial DRAM operations—row activation and precharge—behind transfers on the other fifteen,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router uplinks in under ten minutes as a long, purely sequential write burst per node—the controller’s easiest workload.</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43"/>
    <w:bookmarkStart w:id="45"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Redox OS compatibility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Redox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MoE gating evaluation at</w:t>
      </w:r>
      <w:r>
        <w:t xml:space="preserve"> </w:t>
      </w:r>
      <m:oMath>
        <m:sSup>
          <m:e>
            <m:r>
              <m:t>10</m:t>
            </m:r>
          </m:e>
          <m:sup>
            <m:r>
              <m:t>8</m:t>
            </m:r>
          </m:sup>
        </m:sSup>
      </m:oMath>
      <w:r>
        <w:t xml:space="preserve">–</w:t>
      </w:r>
      <m:oMath>
        <m:sSup>
          <m:e>
            <m:r>
              <m:t>10</m:t>
            </m:r>
          </m:e>
          <m:sup>
            <m:r>
              <m:t>9</m:t>
            </m:r>
          </m:sup>
        </m:sSup>
      </m:oMath>
      <w:r>
        <w:t xml:space="preserve"> </w:t>
      </w:r>
      <w:r>
        <w:t xml:space="preserve">tokens/s (Section</w:t>
      </w:r>
      <w:r>
        <w:t xml:space="preserve"> </w:t>
      </w:r>
      <w:hyperlink w:anchor="sec:2.12">
        <w:r>
          <w:rPr>
            <w:rStyle w:val="Hyperlink"/>
          </w:rPr>
          <w:t xml:space="preserve">2.12</w:t>
        </w:r>
      </w:hyperlink>
      <w:r>
        <w:t xml:space="preserve">) 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bookmarkStart w:id="44" w:name="sec:2.17.1"/>
    <w:p>
      <w:pPr>
        <w:pStyle w:val="Heading3"/>
      </w:pPr>
      <w:r>
        <w:t xml:space="preserve">2.17.1 Main thread placement: the router chip hosts transpiler orchestration</w:t>
      </w:r>
    </w:p>
    <w:p>
      <w:pPr>
        <w:pStyle w:val="FirstParagraph"/>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5-stage finite-state-machine design (Fetch, Decode, Execute, Memory, Writeback) supporting the RV32I base integer instruction set, the M extension for single-cycle multiplication, and the Zicsr extension for machine-mode control and status registers. The core implements ECALL, EBREAK, and MRET for trap handling, and provides a combinational fetch address output for zero-cycle ROM access. Multi-cycle memory operations use a two-phase handshake: cycle 1 presents the address and write data, cycle 2+ waits for bus-ready, ensuring correct timing across all peripheral types. The ALU is fully combinational, driven by a dedicated input multiplexer that selects operands based on the decoded instruction, avoiding mixing blocking and non-blocking assignments in the sequential datapath.</w:t>
      </w:r>
    </w:p>
    <w:p>
      <w:pPr>
        <w:pStyle w:val="BodyText"/>
      </w:pPr>
      <w:r>
        <w:t xml:space="preserve">The memory map partitions the 32-bit address space into five regions: Boot ROM at 0x0000_0000 (64 KB, combinational read for zero-penalty fetch), UART at 0x1000_0000 (16550-compatible, 8N1, configurable baud), CLINT at 0x2000_0000 (machine-mode timer with software interrupt), SRAM at 0x8000_0000 (64 KB, byte-enable write), and PNM router registers at 0xF000_0000 (control, layer/module/length/data registers, status, error counters, dispatch and weight-flit counters). All peripherals use a valid/ready handshake on a shared bus; slave selects are decoded combinationally from the bus address, and read data is multiplexed to the CPU.</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and higher selectors pass through as raw byte offsets into an extended window holding a DMA engine: target address at 0x40, transfer word count at 0x44, control (start-write, start-read, done) at 0x48, and a FIFO data port at 0x4C.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44"/>
    <w:bookmarkEnd w:id="45"/>
    <w:bookmarkStart w:id="46"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 to the MAC ASIC PHY (</w:t>
      </w:r>
      <m:oMath>
        <m:r>
          <m:rPr>
            <m:sty m:val="p"/>
          </m:rPr>
          <m:t>≈</m:t>
        </m:r>
      </m:oMath>
      <w:r>
        <w:t xml:space="preserve">20 mm, 192-bit).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46"/>
    <w:bookmarkStart w:id="47"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47"/>
    <w:bookmarkEnd w:id="48"/>
    <w:bookmarkStart w:id="57"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50" w:name="sec:3.1"/>
    <w:p>
      <w:pPr>
        <w:pStyle w:val="Heading2"/>
      </w:pPr>
      <w:r>
        <w:t xml:space="preserve">3.1 Reference chassis</w:t>
      </w:r>
    </w:p>
    <w:p>
      <w:pPr>
        <w:pStyle w:val="FirstParagraph"/>
      </w:pPr>
      <w:r>
        <w:t xml:space="preserve">Table 2 summarizes the reference configuration: 512 nodes, 64 TB aggregate capacity, approximately 131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versus the sub-50% yields typical of EUV-dependent parts. Cost is a consequence of these physical properties: commodity DRAM in volume, mature-node silicon, and standard packaging yield a node at approximately $2,000, but the structural advantage exists independently of DRAM spot pricing.</w:t>
      </w:r>
    </w:p>
    <w:p>
      <w:pPr>
        <w:pStyle w:val="BodyText"/>
      </w:pPr>
      <w:r>
        <w:t xml:space="preserve">Table 2. Reference chassis configuration (first-order estimates).</w:t>
      </w:r>
    </w:p>
    <w:p>
      <w:pPr>
        <w:pStyle w:val="BodyText"/>
      </w:pPr>
      <w:r>
        <w:t xml:space="preserve">Quantity | Reference value</w:t>
      </w:r>
      <w:r>
        <w:t xml:space="preserve"> </w:t>
      </w:r>
      <w:r>
        <w:t xml:space="preserve">Node | 128 GB LPDDR6 CAMM2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Node memory bandwidth |</w:t>
      </w:r>
      <w:r>
        <w:t xml:space="preserve"> </w:t>
      </w:r>
      <m:oMath>
        <m:r>
          <m:rPr>
            <m:sty m:val="p"/>
          </m:rPr>
          <m:t>≈</m:t>
        </m:r>
      </m:oMath>
      <w:r>
        <w:t xml:space="preserve">256 GB/s (192-bit LPDDR6 CAMM2 @ 10.7 Gb/s/pin)</w:t>
      </w:r>
      <w:r>
        <w:t xml:space="preserve"> </w:t>
      </w:r>
      <w:r>
        <w:t xml:space="preserve">Node fabric link |</w:t>
      </w:r>
      <w:r>
        <w:t xml:space="preserve"> </w:t>
      </w:r>
      <m:oMath>
        <m:r>
          <m:rPr>
            <m:sty m:val="p"/>
          </m:rPr>
          <m:t>≈</m:t>
        </m:r>
      </m:oMath>
      <w:r>
        <w:t xml:space="preserve">16 GB/s (128-bit source-synchronous @ 1 GHz)</w:t>
      </w:r>
      <w:r>
        <w:t xml:space="preserve"> </w:t>
      </w:r>
      <w:r>
        <w:t xml:space="preserve">Node power |</w:t>
      </w:r>
      <w:r>
        <w:t xml:space="preserve"> </w:t>
      </w:r>
      <m:oMath>
        <m:r>
          <m:rPr>
            <m:sty m:val="p"/>
          </m:rPr>
          <m:t>≈</m:t>
        </m:r>
      </m:oMath>
      <w:r>
        <w:t xml:space="preserve">15 W</w:t>
      </w:r>
      <w:r>
        <w:t xml:space="preserve"> </w:t>
      </w:r>
      <w:r>
        <w:t xml:space="preserve">Board (1 layer) | 8</w:t>
      </w: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r>
        <w:t xml:space="preserve"> </w:t>
      </w:r>
      <w:r>
        <w:t xml:space="preserve">Chassis (8 layers) | 512 nodes; 64 TB;</w:t>
      </w:r>
      <w:r>
        <w:t xml:space="preserve"> </w:t>
      </w:r>
      <m:oMath>
        <m:r>
          <m:rPr>
            <m:sty m:val="p"/>
          </m:rPr>
          <m:t>≈</m:t>
        </m:r>
      </m:oMath>
      <w:r>
        <w:t xml:space="preserve">131 TB/s;</w:t>
      </w:r>
      <w:r>
        <w:t xml:space="preserve"> </w:t>
      </w:r>
      <m:oMath>
        <m:r>
          <m:rPr>
            <m:sty m:val="p"/>
          </m:rPr>
          <m:t>≈</m:t>
        </m:r>
      </m:oMath>
      <w:r>
        <w:t xml:space="preserve">197 TFLOPS FP64;</w:t>
      </w:r>
      <w:r>
        <w:t xml:space="preserve"> </w:t>
      </w:r>
      <m:oMath>
        <m:r>
          <m:rPr>
            <m:sty m:val="p"/>
          </m:rPr>
          <m:t>≈</m:t>
        </m:r>
      </m:oMath>
      <w:r>
        <w:t xml:space="preserve">8–10 kW</w:t>
      </w:r>
      <w:r>
        <w:t xml:space="preserve"> </w:t>
      </w:r>
      <w:r>
        <w:t xml:space="preserve">Spine | 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bookmarkStart w:id="49"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repeater and node,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Because experts are placed round-robin-free—the map assigns each expert to exactly one node—a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49"/>
    <w:bookmarkEnd w:id="50"/>
    <w:bookmarkStart w:id="5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w:t>
      </w:r>
    </w:p>
    <w:p>
      <w:pPr>
        <w:pStyle w:val="BodyText"/>
      </w:pPr>
      <m:oMathPara>
        <m:oMathParaPr>
          <m:jc m:val="center"/>
        </m:oMathParaPr>
        <m:oMath>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rPr>
              <m:sty m:val="p"/>
            </m:rPr>
            <m:t>≈</m:t>
          </m:r>
          <m:r>
            <m:t>3.0</m:t>
          </m:r>
          <m:r>
            <m:rPr>
              <m:sty m:val="p"/>
            </m:rPr>
            <m:t>,</m:t>
          </m:r>
          <m:r>
            <m:t>  </m:t>
          </m:r>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rPr>
              <m:sty m:val="p"/>
            </m:rPr>
            <m:t>≈</m:t>
          </m:r>
          <m:r>
            <m:t>6.0</m:t>
          </m:r>
          <m:r>
            <m:rPr>
              <m:sty m:val="p"/>
            </m:rPr>
            <m:t>.</m:t>
          </m: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End w:id="51"/>
    <w:bookmarkStart w:id="5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131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bookmarkEnd w:id="52"/>
    <w:bookmarkStart w:id="5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53"/>
    <w:bookmarkStart w:id="54"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w:t>
      </w:r>
    </w:p>
    <w:p>
      <w:pPr>
        <w:pStyle w:val="BodyText"/>
      </w:pPr>
      <w:r>
        <w:t xml:space="preserve">Table 3. Co-simulation verification results (48-node chassis, 3</w:t>
      </w:r>
      <m:oMath>
        <m:r>
          <m:rPr>
            <m:sty m:val="p"/>
          </m:rPr>
          <m:t>×</m:t>
        </m:r>
      </m:oMath>
      <w:r>
        <w:t xml:space="preserve">4</w:t>
      </w:r>
      <m:oMath>
        <m:r>
          <m:rPr>
            <m:sty m:val="p"/>
          </m:rPr>
          <m:t>×</m:t>
        </m:r>
      </m:oMath>
      <w:r>
        <w:t xml:space="preserve">4, seed 1, three parallel slices).</w:t>
      </w:r>
    </w:p>
    <w:p>
      <w:pPr>
        <w:pStyle w:val="BodyText"/>
      </w:pPr>
      <w:r>
        <w:t xml:space="preserve">Scenario | Routed | Pass-through | Wire bytes | Activations | Corrupt refused | Latency min/mean/max (cycles)</w:t>
      </w:r>
      <w:r>
        <w:t xml:space="preserve"> </w:t>
      </w:r>
      <w:r>
        <w:t xml:space="preserve">sweep | 48 | 0 | 1,104 | 48 | 0 | 24/25/27</w:t>
      </w:r>
      <w:r>
        <w:t xml:space="preserve"> </w:t>
      </w:r>
      <w:r>
        <w:t xml:space="preserve">vcsweep | 48 | 24 | 1,656 | 48 | 0 | 24/25/27</w:t>
      </w:r>
      <w:r>
        <w:t xml:space="preserve"> </w:t>
      </w:r>
      <w:r>
        <w:t xml:space="preserve">load | 450 | 50 | 18,268 | 450 | 0 | 11/141/559</w:t>
      </w:r>
      <w:r>
        <w:t xml:space="preserve"> </w:t>
      </w:r>
      <w:r>
        <w:t xml:space="preserve">hotspot | 380 | 20 | 151,619 | 380 | 0 | 25/2,880/8,279</w:t>
      </w:r>
      <w:r>
        <w:t xml:space="preserve"> </w:t>
      </w:r>
      <w:r>
        <w:t xml:space="preserve">stress | 1,091 | 61 | 170,798 | 1,062 | 29 | 12/539/8,263</w:t>
      </w:r>
      <w:r>
        <w:t xml:space="preserve"> </w:t>
      </w:r>
      <w:r>
        <w:t xml:space="preserve">replay | 276 | 24 | 41,192 | 270 | 6 | 12/472/8,251</w:t>
      </w:r>
    </w:p>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559-cycle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29 corrupt-CRC flits—the count matching the software twin’s refusals and the stub’s corrupt_out verdicts exactly—while the remaining 1,062 activations fire kernels whose results are byte-exact against the golden model. replay’s two runs produce 1.7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five of the six scenarios of Section</w:t>
      </w:r>
      <w:r>
        <w:t xml:space="preserve"> </w:t>
      </w:r>
      <w:hyperlink w:anchor="sec:2.15">
        <w:r>
          <w:rPr>
            <w:rStyle w:val="Hyperlink"/>
          </w:rPr>
          <w:t xml:space="preserve">2.15</w:t>
        </w:r>
      </w:hyperlink>
      <w:r>
        <w:t xml:space="preserve">: sweep at 24/27/31 cycles (min/mean/max), load with 18,102 wire bytes at 11/160/607 cycles, hotspot at 40/2,901/8,311 cycles, stress refusing 83 corrupt messages with 2,743 byte-exact activations at 13/653/8,295 cycles, and replay reproducing all eight slices’ delivery logs bit-identically across two runs (1,623,751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bookmarkEnd w:id="54"/>
    <w:bookmarkStart w:id="55"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p>
      <w:pPr>
        <w:pStyle w:val="BodyText"/>
      </w:pPr>
      <w:r>
        <w:t xml:space="preserve">Table 4. DUV MAC ASIC specifications (reference node; first-order estimates).</w:t>
      </w:r>
    </w:p>
    <w:p>
      <w:pPr>
        <w:pStyle w:val="BodyText"/>
      </w:pPr>
      <w:r>
        <w:t xml:space="preserve">Parameter | Specification</w:t>
      </w:r>
      <w:r>
        <w:t xml:space="preserve"> </w:t>
      </w:r>
      <w:r>
        <w:t xml:space="preserve">Process | 14 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r>
        <w:t xml:space="preserve"> </w:t>
      </w:r>
      <w:r>
        <w:t xml:space="preserve">Clocks | 1 GHz fabric/MAC clock; 10.7 Gb/s/pin LPDDR6 I/O via on-die PLL; source-synchronous fabric forwarding</w:t>
      </w:r>
      <w:r>
        <w:t xml:space="preserve"> </w:t>
      </w:r>
      <w:r>
        <w:t xml:space="preserve">MAC array | 192 FP64 FMA lanes; 384 FP16 lanes (2</w:t>
      </w:r>
      <m:oMath>
        <m:r>
          <m:rPr>
            <m:sty m:val="p"/>
          </m:rPr>
          <m:t>×</m:t>
        </m:r>
      </m:oMath>
      <w:r>
        <w:t xml:space="preserve"> </w:t>
      </w:r>
      <w:r>
        <w:t xml:space="preserve">packing); 768 INT8 lanes (4</w:t>
      </w:r>
      <m:oMath>
        <m:r>
          <m:rPr>
            <m:sty m:val="p"/>
          </m:rPr>
          <m:t>×</m:t>
        </m:r>
      </m:oMath>
      <w:r>
        <w:t xml:space="preserve"> </w:t>
      </w:r>
      <w:r>
        <w:t xml:space="preserve">packing)</w:t>
      </w:r>
      <w:r>
        <w:t xml:space="preserve"> </w:t>
      </w:r>
      <w:r>
        <w:t xml:space="preserve">Peak throughput |</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r>
        <w:t xml:space="preserve"> </w:t>
      </w:r>
      <w:r>
        <w:t xml:space="preserve">Memory interface | 192-bit LPDDR6 controller, 4</w:t>
      </w:r>
      <m:oMath>
        <m:r>
          <m:rPr>
            <m:sty m:val="p"/>
          </m:rPr>
          <m:t>×</m:t>
        </m:r>
      </m:oMath>
      <w:r>
        <w:t xml:space="preserve">48-bit channel groups, 10.7 Gb/s/pin,</w:t>
      </w:r>
      <w:r>
        <w:t xml:space="preserve"> </w:t>
      </w:r>
      <m:oMath>
        <m:r>
          <m:rPr>
            <m:sty m:val="p"/>
          </m:rPr>
          <m:t>≈</m:t>
        </m:r>
      </m:oMath>
      <w:r>
        <w:t xml:space="preserve">256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r>
        <w:t xml:space="preserve"> </w:t>
      </w:r>
      <w:r>
        <w:t xml:space="preserve">Fabric interface | AXI-Stream slave (RX) and master (TX), 128-bit @ 1 GHz,</w:t>
      </w:r>
      <w:r>
        <w:t xml:space="preserve"> </w:t>
      </w:r>
      <m:oMath>
        <m:r>
          <m:rPr>
            <m:sty m:val="p"/>
          </m:rPr>
          <m:t>≈</m:t>
        </m:r>
      </m:oMath>
      <w:r>
        <w:t xml:space="preserve">16 GB/s per direction; wormhole framing, link-local CRC per flit</w:t>
      </w:r>
      <w:r>
        <w:t xml:space="preserve"> </w:t>
      </w:r>
      <w:r>
        <w:t xml:space="preserve">Doorbell DMA | byte counter, running CRC, DEST compare; DOORBELL_TRIG/DOORBELL_ACK and NODE_ERR on the sideband (Section</w:t>
      </w:r>
      <w:r>
        <w:t xml:space="preserve"> </w:t>
      </w:r>
      <w:hyperlink w:anchor="sec:2.9">
        <w:r>
          <w:rPr>
            <w:rStyle w:val="Hyperlink"/>
          </w:rPr>
          <w:t xml:space="preserve">2.9</w:t>
        </w:r>
      </w:hyperlink>
      <w:r>
        <w:t xml:space="preserve">)</w:t>
      </w:r>
      <w:r>
        <w:t xml:space="preserve"> </w:t>
      </w:r>
      <w:r>
        <w:t xml:space="preserve">On-chip SRAM |</w:t>
      </w:r>
      <w:r>
        <w:t xml:space="preserve"> </w:t>
      </w:r>
      <m:oMath>
        <m:r>
          <m:rPr>
            <m:sty m:val="p"/>
          </m:rPr>
          <m:t>≈</m:t>
        </m:r>
      </m:oMath>
      <w:r>
        <w:t xml:space="preserve">1–2 MB: elastic input buffer of at least one maximum-length message (compiler-set capacity), MAC staging, CRC/DMA workspace</w:t>
      </w:r>
      <w:r>
        <w:t xml:space="preserve"> </w:t>
      </w:r>
      <w:r>
        <w:t xml:space="preserve">Power |</w:t>
      </w:r>
      <w:r>
        <w:t xml:space="preserve"> </w:t>
      </w: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r>
        <w:t xml:space="preserve"> </w:t>
      </w:r>
      <w:r>
        <w:t xml:space="preserve">Package | Variant A: socketed LGA/card-edge,</w:t>
      </w:r>
      <w:r>
        <w:t xml:space="preserve"> </w:t>
      </w:r>
      <m:oMath>
        <m:r>
          <m:rPr>
            <m:sty m:val="p"/>
          </m:rPr>
          <m:t>≈</m:t>
        </m:r>
      </m:oMath>
      <w:r>
        <w:t xml:space="preserve">800–850 pins,</w:t>
      </w:r>
      <w:r>
        <w:t xml:space="preserve"> </w:t>
      </w:r>
      <m:oMath>
        <m:r>
          <m:rPr>
            <m:sty m:val="p"/>
          </m:rPr>
          <m:t>≈</m:t>
        </m:r>
      </m:oMath>
      <w:r>
        <w:t xml:space="preserve">20 mm from the CAMM2 socket; Variant B: mounted on the module substrate</w:t>
      </w:r>
    </w:p>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eight unit types, selected at compile time by the kernel mapper (Section</w:t>
      </w:r>
      <w:r>
        <w:t xml:space="preserve"> </w:t>
      </w:r>
      <w:hyperlink w:anchor="sec:2.7">
        <w:r>
          <w:rPr>
            <w:rStyle w:val="Hyperlink"/>
          </w:rPr>
          <w:t xml:space="preserve">2.7</w:t>
        </w:r>
      </w:hyperlink>
      <w:r>
        <w:t xml:space="preserve">):</w:t>
      </w:r>
    </w:p>
    <w:p>
      <w:pPr>
        <w:pStyle w:val="BodyText"/>
      </w:pPr>
      <w:r>
        <w:t xml:space="preserve">Table 4a. Compute unit taxonomy (per-node; reference configuration).</w:t>
      </w:r>
    </w:p>
    <w:p>
      <w:pPr>
        <w:pStyle w:val="BodyText"/>
      </w:pPr>
      <w:r>
        <w:t xml:space="preserve">Unit | Precision | Pipeline latency | Operation class | Workload mapping</w:t>
      </w:r>
      <w:r>
        <w:t xml:space="preserve"> </w:t>
      </w:r>
      <w:r>
        <w:t xml:space="preserve">fp16_fma | FP16 | 3 cycles | Fused Multiply-Add | FP16 transformer inference, mixed-precision stencil halos</w:t>
      </w:r>
      <w:r>
        <w:t xml:space="preserve"> </w:t>
      </w:r>
      <w:r>
        <w:t xml:space="preserve">bf16_fma | BF16 | 3 cycles | Fused Multiply-Add | MoE expert weight-streaming, dense MLP projections (default)</w:t>
      </w:r>
      <w:r>
        <w:t xml:space="preserve"> </w:t>
      </w:r>
      <w:r>
        <w:t xml:space="preserve">fp32_fma | FP32 | 3 cycles | Fused Multiply-Add | High-precision layer norms, attention softmax denominators</w:t>
      </w:r>
      <w:r>
        <w:t xml:space="preserve"> </w:t>
      </w:r>
      <w:r>
        <w:t xml:space="preserve">fp64_fma | FP64 | 3 cycles | Fused Multiply-Add | FP64 stencil computation, scientific HPC kernels</w:t>
      </w:r>
      <w:r>
        <w:t xml:space="preserve"> </w:t>
      </w:r>
      <w:r>
        <w:t xml:space="preserve">fp16_mac_array | FP16 | variable | Systolic MAC array | FP16 attention QKV projections</w:t>
      </w:r>
      <w:r>
        <w:t xml:space="preserve"> </w:t>
      </w:r>
      <w:r>
        <w:t xml:space="preserve">bf16_mac_array | BF16 | variable | Systolic MAC array | BF16 attention QKV projections (default)</w:t>
      </w:r>
      <w:r>
        <w:t xml:space="preserve"> </w:t>
      </w:r>
      <w:r>
        <w:t xml:space="preserve">fp32_alu | FP32 | 3–28 cycles | ALU (ADD/SUB/MUL/DIV/MIN/MAX/CMP) | Layer norm, softmax, activation functions</w:t>
      </w:r>
      <w:r>
        <w:t xml:space="preserve"> </w:t>
      </w:r>
      <w:r>
        <w:t xml:space="preserve">int8_mac | INT8 | 2 cycles | Multiply-Accumulate | Quantized inference, INT8 weight-stationary kernels</w:t>
      </w:r>
    </w:p>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stub (Section</w:t>
      </w:r>
      <w:r>
        <w:t xml:space="preserve"> </w:t>
      </w:r>
      <w:hyperlink w:anchor="sec:2.9">
        <w:r>
          <w:rPr>
            <w:rStyle w:val="Hyperlink"/>
          </w:rPr>
          <w:t xml:space="preserve">2.9</w:t>
        </w:r>
      </w:hyperlink>
      <w:r>
        <w:t xml:space="preserve">) uses the ‘USE_FMA‘ parameter to select between bias-add mode (element-wise addition of a compile-time constant) and BF16 FMA mode (weight-stationary multiply against a resident weight).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55"/>
    <w:bookmarkStart w:id="56"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LPCAMM2/LPDDR6</w:t>
      </w:r>
      <w:r>
        <w:t xml:space="preserve"> </w:t>
      </w:r>
      <w:r>
        <w:t xml:space="preserve">for the</w:t>
      </w:r>
      <w:r>
        <w:t xml:space="preserve"> </w:t>
      </w:r>
      <m:oMath>
        <m:r>
          <m:rPr>
            <m:sty m:val="p"/>
          </m:rPr>
          <m:t>≈</m:t>
        </m:r>
      </m:oMath>
      <w:r>
        <w:t xml:space="preserve">256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56"/>
    <w:bookmarkEnd w:id="57"/>
    <w:bookmarkStart w:id="64" w:name="sec:discussion"/>
    <w:p>
      <w:pPr>
        <w:pStyle w:val="Heading1"/>
      </w:pPr>
      <w:r>
        <w:t xml:space="preserve">Discussion</w:t>
      </w:r>
    </w:p>
    <w:bookmarkStart w:id="58"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58"/>
    <w:bookmarkStart w:id="59"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at the dispatch rates of Section</w:t>
      </w:r>
      <w:r>
        <w:t xml:space="preserve"> </w:t>
      </w:r>
      <w:hyperlink w:anchor="sec:2.6">
        <w:r>
          <w:rPr>
            <w:rStyle w:val="Hyperlink"/>
          </w:rPr>
          <w:t xml:space="preserve">2.6</w:t>
        </w:r>
      </w:hyperlink>
      <w:r>
        <w:t xml:space="preserve">—well below uplink and spine capacity. The host never touches the compute fabric directly.</w:t>
      </w:r>
    </w:p>
    <w:bookmarkEnd w:id="59"/>
    <w:bookmarkStart w:id="60"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60"/>
    <w:bookmarkStart w:id="61"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61"/>
    <w:bookmarkStart w:id="62"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w:t>
      </w:r>
    </w:p>
    <w:p>
      <w:pPr>
        <w:pStyle w:val="BodyText"/>
      </w:pPr>
      <w:r>
        <w:t xml:space="preserve">Capacity-bound workloads have a memory profile that is the mirror image of training’s. Training is bandwidth-dominated: gradients and activations must move at the peak rate the silicon can consume.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token dispatches per second—one to two orders of magnitude above the</w:t>
      </w:r>
      <w:r>
        <w:t xml:space="preserve"> </w:t>
      </w:r>
      <m:oMath>
        <m:r>
          <m:rPr>
            <m:sty m:val="p"/>
          </m:rPr>
          <m:t>≈</m:t>
        </m:r>
      </m:oMath>
      <w:r>
        <w:t xml:space="preserve">10</w:t>
      </w:r>
      <m:oMath>
        <m:sSup>
          <m:e>
            <m:r>
              <m:t>​</m:t>
            </m:r>
          </m:e>
          <m:sup>
            <m:r>
              <m:t>7</m:t>
            </m:r>
          </m:sup>
        </m:sSup>
      </m:oMath>
      <w:r>
        <w:t xml:space="preserve"> </w:t>
      </w:r>
      <w:r>
        <w:t xml:space="preserve">tokens/s sustained by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62"/>
    <w:bookmarkStart w:id="63"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63"/>
    <w:bookmarkEnd w:id="64"/>
    <w:bookmarkStart w:id="65"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Redox, handling topology discovery, workload dispatch, and host PCIe on a single socketed, cold-swappable die. The reference chassis—64 TB, 131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20</w:t>
      </w:r>
      <m:oMath>
        <m:r>
          <m:rPr>
            <m:sty m:val="p"/>
          </m:rPr>
          <m:t>×</m:t>
        </m:r>
      </m:oMath>
      <w:r>
        <w:t xml:space="preserve"> </w:t>
      </w:r>
      <w:r>
        <w:t xml:space="preserve">per byte against HBM, but the structural advantage—no interposer, no EUV, no 300 W thermal hotspots—persists regardless of market cycles. 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65"/>
    <w:bookmarkStart w:id="66"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30</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23, 2026</vt:lpwstr>
  </property>
</Properties>
</file>