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August 23,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131 TB/s aggregate node-local bandwidth, and approximately 197 TFLOPS FP64 at approximately 15 W per node—8–10 kW per chassis against 0.25 MW for capacity-equivalent HBM—managed by one socketed RISC-V BMC/router chip handling topology discovery, workload dispatch, and host PCIe</w:t>
      </w:r>
      <w:r>
        <w:t xml:space="preserve">.</w:t>
      </w:r>
    </w:p>
    <w:p>
      <w:pPr>
        <w:pStyle w:val="BodyText"/>
      </w:pPr>
      <w:r>
        <w:t xml:space="preserve">The result is bit-exact-reproducible computation with provable deadlock freedom, compile-time latency bounds, and a fraction of the thermal envelope, interposer dependency, and manufacturing complexity of monolithic GPU accelerators. Validation scope is stated explicitly: the machine-checked claims are byte-exact delivery and replay, doorbell refusal accounting, and cycle-exact closed-form latency on a 100 MHz behavioral co-simulation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RISC-V; BMC; High-Performance Computing</w:t>
      </w:r>
    </w:p>
    <w:bookmarkEnd w:id="20"/>
    <w:bookmarkStart w:id="25"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 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End w:id="25"/>
    <w:bookmarkStart w:id="46" w:name="sec:methods"/>
    <w:p>
      <w:pPr>
        <w:pStyle w:val="Heading1"/>
      </w:pPr>
      <w:r>
        <w:t xml:space="preserve">Methods</w:t>
      </w:r>
    </w:p>
    <w:bookmarkStart w:id="26"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Commodity DRAM (192-bit LPDDR6 CAMM2) holds all weights and state. A DUV MAC ASIC beside each module performs the only computation. Stateless Hardware Flit Repeaters (HFRs) and the combinational lxy_repeaters form the entire data path. And one central router chip—the only programmable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terminates the host PCIe uplinks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Everything on the hot path is pure transport; everything with state lives in a single chip at the spine root.</w:t>
      </w:r>
    </w:p>
    <w:bookmarkEnd w:id="26"/>
    <w:bookmarkStart w:id="27"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256 GB/s each node can read from its own memory: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27"/>
    <w:bookmarkStart w:id="28"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28"/>
    <w:bookmarkStart w:id="29" w:name="sec:2.4"/>
    <w:p>
      <w:pPr>
        <w:pStyle w:val="Heading2"/>
      </w:pPr>
      <w:r>
        <w:t xml:space="preserve">2.4 CAMM2 integration, packaging, and sideband signaling</w:t>
      </w:r>
    </w:p>
    <w:p>
      <w:pPr>
        <w:pStyle w:val="FirstParagraph"/>
      </w:pPr>
      <w:r>
        <w:t xml:space="preserve">Each compute node centers on a JEDEC LPDDR6 CAMM2 memory module (the socketable form factor that succeeds JESD318’s LPCAMM2)</w:t>
      </w:r>
      <w:r>
        <w:t xml:space="preserve">. LPDDR6 (JESD209-6) organizes its bus as 24-bit channels, each made of two 12-bit sub-channels; the CAMM2 module is 8</w:t>
      </w:r>
      <m:oMath>
        <m:r>
          <m:rPr>
            <m:sty m:val="p"/>
          </m:rPr>
          <m:t>×</m:t>
        </m:r>
      </m:oMath>
      <w:r>
        <w:t xml:space="preserve">24 bits (four 48-bit channel groups), i.e. a **192-bit** interface. The reference configuration assumes this 192-bit bus at 10.7 Gb/s/pin, yielding</w:t>
      </w:r>
      <w:r>
        <w:t xml:space="preserve"> </w:t>
      </w:r>
      <m:oMath>
        <m:r>
          <m:rPr>
            <m:sty m:val="p"/>
          </m:rPr>
          <m:t>≈</m:t>
        </m:r>
      </m:oMath>
      <w:r>
        <w:t xml:space="preserve">256 GB/s per node.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CAMM2 socket is paired with an adjacent low-profile ASIC socket (land-grid-array or card-edge mezzanine).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 remains an unmodified commodity part. Placing the two sockets within roughly 20 mm keeps the LPDDR6 interface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p>
      <w:pPr>
        <w:pStyle w:val="BodyText"/>
      </w:pPr>
      <w:r>
        <w:t xml:space="preserve">Table 1. Board-level pin and trace outline (per node; first-order estimates).</w:t>
      </w:r>
    </w:p>
    <w:p>
      <w:pPr>
        <w:pStyle w:val="BodyText"/>
      </w:pPr>
      <w:r>
        <w:t xml:space="preserve">Interface | Pins | Routing</w:t>
      </w:r>
      <w:r>
        <w:t xml:space="preserve"> </w:t>
      </w:r>
      <w:r>
        <w:t xml:space="preserve">CAMM2 socket (LPDDR6, 192-bit) |</w:t>
      </w:r>
      <w:r>
        <w:t xml:space="preserve"> </w:t>
      </w:r>
      <m:oMath>
        <m:r>
          <m:rPr>
            <m:sty m:val="p"/>
          </m:rPr>
          <m:t>≈</m:t>
        </m:r>
      </m:oMath>
      <w:r>
        <w:t xml:space="preserve">600–650 | 192 DQ, 24 DQS pairs, CA/CS/CK, power/ground;</w:t>
      </w:r>
      <w:r>
        <w:t xml:space="preserve"> </w:t>
      </w:r>
      <m:oMath>
        <m:r>
          <m:rPr>
            <m:sty m:val="p"/>
          </m:rPr>
          <m:t>≤</m:t>
        </m:r>
      </m:oMath>
      <w:r>
        <w:t xml:space="preserve">20 mm to the ASIC socket</w:t>
      </w:r>
      <w:r>
        <w:t xml:space="preserve"> </w:t>
      </w:r>
      <w:r>
        <w:t xml:space="preserve">ASIC socket (Variant A) |</w:t>
      </w:r>
      <w:r>
        <w:t xml:space="preserve"> </w:t>
      </w:r>
      <m:oMath>
        <m:r>
          <m:rPr>
            <m:sty m:val="p"/>
          </m:rPr>
          <m:t>≈</m:t>
        </m:r>
      </m:oMath>
      <w:r>
        <w:t xml:space="preserve">800–850 | 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r>
        <w:t xml:space="preserve"> </w:t>
      </w:r>
      <w:r>
        <w:t xml:space="preserve">Sideband header | 6 | 4 signal + ground (+3.3 V); daisy-chained control net up the spine</w:t>
      </w:r>
      <w:r>
        <w:t xml:space="preserve"> </w:t>
      </w:r>
      <w:r>
        <w:t xml:space="preserve">Spine mezzanine | 128</w:t>
      </w:r>
      <w:r>
        <w:t xml:space="preserve"> </w:t>
      </w:r>
      <m:oMath>
        <m:r>
          <m:rPr>
            <m:sty m:val="p"/>
          </m:rPr>
          <m:t>×</m:t>
        </m:r>
      </m:oMath>
      <w:r>
        <w:t xml:space="preserve"> </w:t>
      </w:r>
      <w:r>
        <w:t xml:space="preserve">lanes + control | per-link 128-bit source-synchronous with forwarded clock</w:t>
      </w:r>
    </w:p>
    <w:p>
      <w:pPr>
        <w:pStyle w:val="BodyText"/>
      </w:pPr>
      <w:r>
        <w:t xml:space="preserve">Every trace is impedance-controlled and length-matched within its group. The LPDDR6 escape from the CAMM2 socket to the ASIC socket runs</w:t>
      </w:r>
      <w:r>
        <w:t xml:space="preserve"> </w:t>
      </w:r>
      <m:oMath>
        <m:r>
          <m:rPr>
            <m:sty m:val="p"/>
          </m:rPr>
          <m:t>≤</m:t>
        </m:r>
      </m:oMath>
      <w:r>
        <w:t xml:space="preserve">20 mm on dedicated DDR routing layers as a tightly matched bundle—the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29"/>
    <w:bookmarkStart w:id="30"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central router chip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per-link bandwidth (</w:t>
      </w:r>
      <m:oMath>
        <m:r>
          <m:rPr>
            <m:sty m:val="p"/>
          </m:rPr>
          <m:t>≈</m:t>
        </m:r>
      </m:oMath>
      <w:r>
        <w:t xml:space="preserve">256 GB/s from LPDDR6 CAMM2),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exclusively on the router chip,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PCIe into its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w:t>
      </w:r>
      <w:r>
        <w:t xml:space="preserve"> </w:t>
      </w:r>
      <m:oMath>
        <m:r>
          <m:t>0.3</m:t>
        </m:r>
      </m:oMath>
      <w:r>
        <w:t xml:space="preserve">–1 MB of weights—5–15</w:t>
      </w:r>
      <m:oMath>
        <m:r>
          <m:rPr>
            <m:sty m:val="p"/>
          </m:rPr>
          <m:t>×</m:t>
        </m:r>
      </m:oMath>
      <w:r>
        <w:t xml:space="preserve"> </w:t>
      </w:r>
      <w:r>
        <w:t xml:space="preserve">the router’s dedicated 64 KB gating SRAM (32K BF16 entries)—so learned-router sizing and its per-token evaluation latency are projections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router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router enters the dispatch loop: for MoE workloads, it evaluates the gating network and dispatches tokens;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0"/>
    <w:bookmarkStart w:id="31"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 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central router chip’s firmware (Section</w:t>
      </w:r>
      <w:r>
        <w:t xml:space="preserve"> </w:t>
      </w:r>
      <w:hyperlink w:anchor="sec:2.5">
        <w:r>
          <w:rPr>
            <w:rStyle w:val="Hyperlink"/>
          </w:rPr>
          <w:t xml:space="preserve">2.5</w:t>
        </w:r>
      </w:hyperlink>
      <w:r>
        <w:t xml:space="preserve">) boots the chassis,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 at the full 256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1"/>
    <w:bookmarkStart w:id="32"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32"/>
    <w:bookmarkStart w:id="33"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chip. The router evaluates the same closed-form routing function,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131 TB/s of node-local memory can serve, and far below the router’s raw decision capacity. Optional per-layer dispatch replicas scale the decision rate linearly and remain deterministic because the routing function is pure; they do not raise the fabric-bound ceiling.</w:t>
      </w:r>
    </w:p>
    <w:bookmarkEnd w:id="33"/>
    <w:bookmarkStart w:id="34"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w:t>
      </w:r>
    </w:p>
    <w:p>
      <w:pPr>
        <w:pStyle w:val="BodyText"/>
      </w:pPr>
      <w:r>
        <w:t xml:space="preserve">Every node—whether a MAC node or a repeater serving a CAMM slot—runs the same hardwired three-phase doorbell discipline.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End w:id="34"/>
    <w:bookmarkStart w:id="35"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35"/>
    <w:bookmarkStart w:id="37" w:name="sec:2.11"/>
    <w:p>
      <w:pPr>
        <w:pStyle w:val="Heading2"/>
      </w:pPr>
      <w:r>
        <w:t xml:space="preserve">2.11 Target workloads</w:t>
      </w:r>
    </w:p>
    <w:bookmarkStart w:id="36"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36"/>
    <w:bookmarkEnd w:id="37"/>
    <w:bookmarkStart w:id="38"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256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38"/>
    <w:bookmarkStart w:id="39"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39"/>
    <w:bookmarkStart w:id="40"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40"/>
    <w:bookmarkStart w:id="41"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and the router chip (POST discovery, routing-table load, weight upload, MoE map load, and inference dispatch).</w:t>
      </w:r>
    </w:p>
    <w:p>
      <w:pPr>
        <w:pStyle w:val="BodyText"/>
      </w:pPr>
      <w:r>
        <w:t xml:space="preserve">Beyond the fabric and compute silicon, tb_sodimm_ctrl.v verifies the banked memory controller described in Section</w:t>
      </w:r>
      <w:r>
        <w:t xml:space="preserve"> </w:t>
      </w:r>
      <w:hyperlink w:anchor="sec:2.17">
        <w:r>
          <w:rPr>
            <w:rStyle w:val="Hyperlink"/>
          </w:rPr>
          <w:t xml:space="preserve">2.17</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41"/>
    <w:bookmarkStart w:id="42"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256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The 192-bit interface is four 48-bit channel groups, i.e. eight 24-bit LPDDR6 channels of two 12-bit sub-channels each—sixteen independent sub-channels on one module. Each sub-channel owns its own bank array, command path, and strobes, so the controller can keep up to sixteen rows open simultaneously and interleave transfers across them. This independence is the entire trick: with sixteen sub-channels in flight, the controller hides the two inherently serial DRAM operations—row activation and precharge—behind transfers on the other fifteen,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42"/>
    <w:bookmarkStart w:id="43" w:name="sec:2.17"/>
    <w:p>
      <w:pPr>
        <w:pStyle w:val="Heading2"/>
      </w:pPr>
      <w:r>
        <w:t xml:space="preserve">2.17 The BMC/router chip: a RISC-V SoC for chassis management</w:t>
      </w:r>
    </w:p>
    <w:p>
      <w:pPr>
        <w:pStyle w:val="FirstParagraph"/>
      </w:pPr>
      <w:r>
        <w:t xml:space="preserve">The central router chip described in Section</w:t>
      </w:r>
      <w:r>
        <w:t xml:space="preserve"> </w:t>
      </w:r>
      <w:hyperlink w:anchor="sec:2.5">
        <w:r>
          <w:rPr>
            <w:rStyle w:val="Hyperlink"/>
          </w:rPr>
          <w:t xml:space="preserve">2.5</w:t>
        </w:r>
      </w:hyperlink>
      <w:r>
        <w:t xml:space="preserve"> </w:t>
      </w:r>
      <w:r>
        <w:t xml:space="preserve">is implemented as a RISC-V System-on-Chip (SoC) targeting Linux and seL4 on bare-metal or NOMMU configurations. The SoC integrates an RV32IMA multi-cycle CPU core, 64 KB boot ROM, 64 KB SRAM, a 16550-compatible UART, a Core Local Interruptor (CLINT) with machine-mode timer, and the PNM router engine—all on a single die.</w:t>
      </w:r>
    </w:p>
    <w:p>
      <w:pPr>
        <w:pStyle w:val="BodyText"/>
      </w:pPr>
      <w:r>
        <w:t xml:space="preserve">The choice of an SoC over a microcontroller is deliberate and driven by four requirements that no MCU satisfies simultaneously. First, OS compatibility: running Linux or seL4 on the router chip—whether for development tooling, containerized dispatch services, or future userland extensions—requires either an Sv32 MMU or NOMMU kernel support; commodity MCUs typically provide neither, while RV32IMAFC cores with NOMMU Linux are a proven configuration</w:t>
      </w:r>
      <w:r>
        <w:t xml:space="preserve">. Second, host interface bandwidth: terminating a PCIe Gen5 endpoint requires dedicated PHY and controller blocks integrated into SoC-class silicon, not bit-banged GPIO on an MCU. Third, dispatch throughput: issuing 270 fabric dispatches per generated token at the sustained dispatch rates of Section</w:t>
      </w:r>
      <w:r>
        <w:t xml:space="preserve"> </w:t>
      </w:r>
      <w:hyperlink w:anchor="sec:2.8">
        <w:r>
          <w:rPr>
            <w:rStyle w:val="Hyperlink"/>
          </w:rPr>
          <w:t xml:space="preserve">2.8</w:t>
        </w:r>
      </w:hyperlink>
      <w:r>
        <w:t xml:space="preserve"> </w:t>
      </w:r>
      <w:r>
        <w:t xml:space="preserve">demands clock rates and memory hierarchies beyond typical MCU envelopes. Fourth, routing-table capacity: source-routed tables for 512 nodes plus MoE expert maps exceed the on-chip SRAM of most MCUs but fit comfortably in SoC-class SRAM with cache backing.</w:t>
      </w:r>
    </w:p>
    <w:p>
      <w:pPr>
        <w:pStyle w:val="BodyText"/>
      </w:pPr>
      <w:r>
        <w:t xml:space="preserve">The current RTL implements the RV32IMA baseline as a proof of concept; production silicon upgrades to RV32IMAFC (adding compressed instructions and single/double-precision floating point) to meet the NOMMU Linux requirement. The C firmware port targets both deployment modes: bare-metal static allocation for deterministic boot-time behavior, and a NOMMU Linux userspace daemon for operational flexibility.</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router chip’s CPU, not on any node PE or the host. This placement follows from three constraints. First, the compiler’s IR lowering stage needs visibility into the full chassis topology—which nodes hold which compute units, which routing patterns connect them—and only the router chip holds the complete POST-discovered topology map. Second, the transpiler’s output is a sequence of .pnm directives that must be injected through the fabric’s ingress port, which terminates at the router chip’s PCIe interface. Third, the doorbell-driven execution model requires a coordinator that tracks per-node kernel completion; placing this coordinator on a PE tile would consume a scarce compute unit for bookkeeping.</w:t>
      </w:r>
    </w:p>
    <w:p>
      <w:pPr>
        <w:pStyle w:val="BodyText"/>
      </w:pPr>
      <w:r>
        <w:t xml:space="preserve">Concretely: the host compiles R/Haskell/HLSL source to typed IR (the existing CompileR/CompileHaskell/CompileHLSL pipeline), ships the IR to the router chip over PCIe, and the router chip’s firmware lowers it onto the chassis—allocating registers, assigning kernels to nodes, computing routes, and emitting flits through its own PNM register block. The host never touches the spine directly. This keeps the PCIe link carrying compact IR rather than raw .pnm text, and it means the router chip can re-plan mid-execution if a node fails (Section</w:t>
      </w:r>
      <w:r>
        <w:t xml:space="preserve"> </w:t>
      </w:r>
      <w:hyperlink w:anchor="sec:4.1">
        <w:r>
          <w:rPr>
            <w:rStyle w:val="Hyperlink"/>
          </w:rPr>
          <w:t xml:space="preserve">4.1</w:t>
        </w:r>
      </w:hyperlink>
      <w:r>
        <w:t xml:space="preserve">), without round-tripping through the host.</w:t>
      </w:r>
    </w:p>
    <w:p>
      <w:pPr>
        <w:pStyle w:val="BodyText"/>
      </w:pPr>
      <w:r>
        <w:t xml:space="preserve">The CPU core is a five-stage RV32IMA design (Fetch through Writeback) with the M extension for single-cycle multiplication and Zicsr machine-mode CSRs; it implements ECALL, EBREAK, and MRET trap handling with a combinational fetch address for zero-cycle ROM access. Multi-cycle memory accesses use a two-phase address/ready handshake so timing is correct across all peripheral types, and the ALU is fully combinational with a dedicated operand multiplexer.</w:t>
      </w:r>
    </w:p>
    <w:p>
      <w:pPr>
        <w:pStyle w:val="BodyText"/>
      </w:pPr>
      <w:r>
        <w:t xml:space="preserve">The memory map partitions the 32-bit address space into five regions: boot ROM at 0x0000_0000 (64 KB), UART at 0x1000_0000, CLINT at 0x2000_0000, SRAM at 0x8000_0000 (64 KB), and the PNM router registers at 0xF000_0000. All peripherals use a valid/ready handshake on a shared bus with combinationally decoded slave selects.</w:t>
      </w:r>
    </w:p>
    <w:p>
      <w:pPr>
        <w:pStyle w:val="BodyText"/>
      </w:pPr>
      <w:r>
        <w:t xml:space="preserve">The RTL ships four SoC tiers sharing the CPU and bus fabric, so a deployment scales the management plane without changing firmware structure above the register layer. The BMC tier (bmc_orchestrator_top.v) is the five-region minimal map above. The MCU tier (orchestrator_mcu.v) drops the CLINT for pure bare-metal dispatch loops. The MoE SBC tier (orchestrator_sbc_moe.v) adds a 64 KB BF16 gating SRAM and the moe_gating unit so expert selection runs in silicon next to the dispatcher. The general SBC tier (orchestrator_sbc.v) is the full machine: SRAM at 0x4000_0000 sized by one synthesis-time parameter over a 500 KB–32 MB range (bare-metal dispatch loops at the bottom of the range; trimmed Linux tinyconfig or seL4 images at 1–4 MB; Linux plus CPython userland at 16 MB), a 1 GB LPDDR5 DRAM window at 0x8000_0000 whose behavioral controller models row-activate plus CAS latency as a programmable parameter, a PCIe Gen5 x16 endpoint at 0xC000_0000, an NVMe storage controller at 0xD000_0000, and the PNM window at 0xF000_0000. Each tier passes its own self-checking testbench (tb_bmc_orchestrator.v, tb_orchestrator_mcu.v, tb_orchestrator_sbc_moe.v, tb_orchestrator_sbc.v).</w:t>
      </w:r>
    </w:p>
    <w:p>
      <w:pPr>
        <w:pStyle w:val="BodyText"/>
      </w:pPr>
      <w:r>
        <w:t xml:space="preserve">Two of the SBC-tier blocks deserve specification because they change what the router chip can do unaided. The PCIe Gen5 x16 PHY (pcie_phy.v) terminates the host uplink of Section</w:t>
      </w:r>
      <w:r>
        <w:t xml:space="preserve"> </w:t>
      </w:r>
      <w:hyperlink w:anchor="sec:4.2">
        <w:r>
          <w:rPr>
            <w:rStyle w:val="Hyperlink"/>
          </w:rPr>
          <w:t xml:space="preserve">4.2</w:t>
        </w:r>
      </w:hyperlink>
      <w:r>
        <w:t xml:space="preserve"> </w:t>
      </w:r>
      <w:r>
        <w:t xml:space="preserve">in silicon rather than as a paper abstraction: an LTSSM walks Detect through L0, posted/completion headers stage through a completion FIFO whose pop is deferred one cycle to keep the ready/valid contract under spine backpressure (a ready/valid bug class the harness’s audit log documents fixing), and a loopback parameter drives link bring-up without a live host—verified by twelve self-checking scenarios in tb_pcie_phy.v. The NVMe storage controller (nvme_ctrl.v) attaches commodity M.2/U.2 SSDs behind a 64-deep command queue and 512-byte block engine, giving the router chip a persistence tier the fabric nodes deliberately lack: boot images and rootfs survive power cycles without re-streaming from the host, KV-cache offload spills to local flash instead of crossing the PCIe uplink, and the C firmware’s block driver (pnm_nvme.c) plus Lustre striping client (pnm_lustre.c) speak the same registers from userland or bare metal. The result is a management plane that boots standalone—POST, routing tables, weights—while every byte of compute state remains in the chassis’s commodity DRAM pools where Sections</w:t>
      </w:r>
      <w:r>
        <w:t xml:space="preserve"> </w:t>
      </w:r>
      <w:hyperlink w:anchor="sec:2.4">
        <w:r>
          <w:rPr>
            <w:rStyle w:val="Hyperlink"/>
          </w:rPr>
          <w:t xml:space="preserve">2.4</w:t>
        </w:r>
      </w:hyperlink>
      <w:r>
        <w:t xml:space="preserve"> </w:t>
      </w:r>
      <w:r>
        <w:t xml:space="preserve">and</w:t>
      </w:r>
      <w:r>
        <w:t xml:space="preserve"> </w:t>
      </w:r>
      <w:hyperlink w:anchor="sec:2.16">
        <w:r>
          <w:rPr>
            <w:rStyle w:val="Hyperlink"/>
          </w:rPr>
          <w:t xml:space="preserve">2.16</w:t>
        </w:r>
      </w:hyperlink>
      <w:r>
        <w:t xml:space="preserve"> </w:t>
      </w:r>
      <w:r>
        <w:t xml:space="preserve">place it.</w:t>
      </w:r>
    </w:p>
    <w:p>
      <w:pPr>
        <w:pStyle w:val="BodyText"/>
      </w:pPr>
      <w:r>
        <w:t xml:space="preserve">The PNM router engine is a simplified version of the orchestrator_chip.v fabric controller, driven by CPU register writes instead of a host PCIe stream. It implements a flit builder with CRC-16/CCITT-FALSE integrity checking, matching the fabric’s wire format (Section</w:t>
      </w:r>
      <w:r>
        <w:t xml:space="preserve"> </w:t>
      </w:r>
      <w:hyperlink w:anchor="sec:2.9">
        <w:r>
          <w:rPr>
            <w:rStyle w:val="Hyperlink"/>
          </w:rPr>
          <w:t xml:space="preserve">2.9</w:t>
        </w:r>
      </w:hyperlink>
      <w:r>
        <w:t xml:space="preserve">). The CPU firmware runs the five-phase boot protocol of Section</w:t>
      </w:r>
      <w:r>
        <w:t xml:space="preserve"> </w:t>
      </w:r>
      <w:hyperlink w:anchor="sec:2.5">
        <w:r>
          <w:rPr>
            <w:rStyle w:val="Hyperlink"/>
          </w:rPr>
          <w:t xml:space="preserve">2.5</w:t>
        </w:r>
      </w:hyperlink>
      <w:r>
        <w:t xml:space="preserve"> </w:t>
      </w:r>
      <w:r>
        <w:t xml:space="preserve">verbatim; a dedicated boot_done detection circuit in the register block asserts when the firmware writes bit 2 of the ROUTE_CTRL register, transitioning the chassis from initialization to the dispatch loop.</w:t>
      </w:r>
    </w:p>
    <w:p>
      <w:pPr>
        <w:pStyle w:val="BodyText"/>
      </w:pPr>
      <w:r>
        <w:t xml:space="preserve">The design is verified by a self-checking testbench (tb_bmc_orchestrator.v) that loads a test program into ROM, exercises UART output, PNM register writes, and the boot-done signal, and checks for correct execution of LUI, ADDI, SW, and JAL instructions. The testbench instantiates the full SoC with a 2-layer,</w:t>
      </w:r>
      <w:r>
        <w:t xml:space="preserve"> </w:t>
      </w:r>
      <m:oMath>
        <m:r>
          <m:t>2</m:t>
        </m:r>
        <m:r>
          <m:rPr>
            <m:sty m:val="p"/>
          </m:rPr>
          <m:t>×</m:t>
        </m:r>
        <m:r>
          <m:t>2</m:t>
        </m:r>
      </m:oMath>
      <w:r>
        <w:t xml:space="preserve">-node fabric configuration, stubbed spine injection/extraction, and all peripheral models.</w:t>
      </w:r>
    </w:p>
    <w:p>
      <w:pPr>
        <w:pStyle w:val="BodyText"/>
      </w:pPr>
      <w:r>
        <w:t xml:space="preserve">Host access path. The management plane is shared between the router’s own CPU and an external host through a two-port round-robin arbiter (pnm_arb): master 0 is the on-chip RV32 core, master 1 is a SPI slave bridge (pi_bridge) that lets a commodity single-board computer act as the chassis console. The bridge translates 48-bit mode-0 SPI frames—a header byte carrying read/write flag and register selector, a 32-bit data field, and a status acknowledgment byte—into valid/ready bus transactions; selectors 0–9 map to the standard PNM registers; higher selectors pass through as raw byte offsets into an extended window holding a DMA engine (target address, transfer word count, start/read/done control, and a FIFO data port). Both masters observe the same discipline—valid held until ready pulses—so either combinational or registered slaves can sit behind the arbiter without protocol change. The path is verified end-to-end by tb_host_bmc.v: SPI register writes land in the shared register file, a flit assembled by the bridge emerges from the spine ingress port with correct layer/module/CRC framing, boot-done asserts after the firmware sequence, and the dispatch counter reads back over the same serial link.</w:t>
      </w:r>
    </w:p>
    <w:p>
      <w:pPr>
        <w:pStyle w:val="BodyText"/>
      </w:pPr>
      <w:r>
        <w:t xml:space="preserve">Memory-side verification. The DMA engine extends the identical discipline to node-local DRAM through the behavioral LPCAMM2/LPDDR6 module model (lpddr6_camm.v), which implements the controller contract of Section</w:t>
      </w:r>
      <w:r>
        <w:t xml:space="preserve"> </w:t>
      </w:r>
      <w:hyperlink w:anchor="sec:2.16">
        <w:r>
          <w:rPr>
            <w:rStyle w:val="Hyperlink"/>
          </w:rPr>
          <w:t xml:space="preserve">2.16</w:t>
        </w:r>
      </w:hyperlink>
      <w:r>
        <w:t xml:space="preserve">—CAS-latency waits, one response per transaction, refresh bursts that stall command acceptance under the valid/ready handshake described there. tb_dma_lpddr6.v drives a four-word payload from the SPI host through bridge, arbiter, and FIFO into the module, verifies the array contents at the word-mapped address, counts exactly four writes at the module’s activity counters, and reads the payload back byte-exact while the refresh scheduler absorbs more than two dozen stall events mid-transfer. Because the module is parameterized rather than hard-coded, the same testbench structure instantiates the same protocol stack against DDR4-class and DDR5-class SODIMM timing profiles (Section</w:t>
      </w:r>
      <w:r>
        <w:t xml:space="preserve"> </w:t>
      </w:r>
      <w:hyperlink w:anchor="sec:3.7">
        <w:r>
          <w:rPr>
            <w:rStyle w:val="Hyperlink"/>
          </w:rPr>
          <w:t xml:space="preserve">3.7</w:t>
        </w:r>
      </w:hyperlink>
      <w:r>
        <w:t xml:space="preserve">); all three generations pass identically, which is the machine-checked form of the claim that the chassis software stack is memory-generation agnostic. Where the deskside tier needs the controller itself rather than its timing alone, sodimm_ctrl.v implements a real banked DDR controller behind the identical bus contract: a per-bank open-row tracker drives activate/precharge/CAS micro-sequences under enforced tRAS, so a row hit costs CAS latency, a miss adds tRCD, a conflict adds tRP+tRCD, and refresh closes every bank while never dropping an accepted command; tb_sodimm_ctrl.v checks those three latencies in closed form across DDR4-class and DDR5-class profiles, along with byte-enable masking and refresh-storm integrity.</w:t>
      </w:r>
    </w:p>
    <w:bookmarkEnd w:id="43"/>
    <w:bookmarkStart w:id="44"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 to the MAC ASIC PHY (</w:t>
      </w:r>
      <m:oMath>
        <m:r>
          <m:rPr>
            <m:sty m:val="p"/>
          </m:rPr>
          <m:t>≈</m:t>
        </m:r>
      </m:oMath>
      <w:r>
        <w:t xml:space="preserve">20 mm, 192-bit).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44"/>
    <w:bookmarkStart w:id="45"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45"/>
    <w:bookmarkEnd w:id="46"/>
    <w:bookmarkStart w:id="55"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48" w:name="sec:3.1"/>
    <w:p>
      <w:pPr>
        <w:pStyle w:val="Heading2"/>
      </w:pPr>
      <w:r>
        <w:t xml:space="preserve">3.1 Reference chassis</w:t>
      </w:r>
    </w:p>
    <w:p>
      <w:pPr>
        <w:pStyle w:val="FirstParagraph"/>
      </w:pPr>
      <w:r>
        <w:t xml:space="preserve">Table 2 summarizes the reference configuration: 512 nodes, 64 TB aggregate capacity, approximately 131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p>
      <w:pPr>
        <w:pStyle w:val="BodyText"/>
      </w:pPr>
      <w:r>
        <w:t xml:space="preserve">Table 2. Reference chassis configuration (first-order estimates).</w:t>
      </w:r>
    </w:p>
    <w:p>
      <w:pPr>
        <w:pStyle w:val="BodyText"/>
      </w:pPr>
      <w:r>
        <w:t xml:space="preserve">Quantity | Reference value</w:t>
      </w:r>
      <w:r>
        <w:t xml:space="preserve"> </w:t>
      </w:r>
      <w:r>
        <w:t xml:space="preserve">Node | 128 GB LPDDR6 CAMM2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r>
        <w:t xml:space="preserve"> </w:t>
      </w:r>
      <w:r>
        <w:t xml:space="preserve">Node memory bandwidth |</w:t>
      </w:r>
      <w:r>
        <w:t xml:space="preserve"> </w:t>
      </w:r>
      <m:oMath>
        <m:r>
          <m:rPr>
            <m:sty m:val="p"/>
          </m:rPr>
          <m:t>≈</m:t>
        </m:r>
      </m:oMath>
      <w:r>
        <w:t xml:space="preserve">256 GB/s (192-bit LPDDR6 CAMM2 @ 10.7 Gb/s/pin)</w:t>
      </w:r>
      <w:r>
        <w:t xml:space="preserve"> </w:t>
      </w:r>
      <w:r>
        <w:t xml:space="preserve">DDR5 baseline (contrast) | 192 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r>
        <w:t xml:space="preserve"> </w:t>
      </w:r>
      <w:r>
        <w:t xml:space="preserve">Node fabric link |</w:t>
      </w:r>
      <w:r>
        <w:t xml:space="preserve"> </w:t>
      </w:r>
      <m:oMath>
        <m:r>
          <m:rPr>
            <m:sty m:val="p"/>
          </m:rPr>
          <m:t>≈</m:t>
        </m:r>
      </m:oMath>
      <w:r>
        <w:t xml:space="preserve">16 GB/s (128-bit source-synchronous @ 1 GHz)</w:t>
      </w:r>
      <w:r>
        <w:t xml:space="preserve"> </w:t>
      </w:r>
      <w:r>
        <w:t xml:space="preserve">Node power |</w:t>
      </w:r>
      <w:r>
        <w:t xml:space="preserve"> </w:t>
      </w:r>
      <m:oMath>
        <m:r>
          <m:rPr>
            <m:sty m:val="p"/>
          </m:rPr>
          <m:t>≈</m:t>
        </m:r>
      </m:oMath>
      <w:r>
        <w:t xml:space="preserve">15 W</w:t>
      </w:r>
      <w:r>
        <w:t xml:space="preserve"> </w:t>
      </w:r>
      <w:r>
        <w:t xml:space="preserve">Board (1 layer) | 8</w:t>
      </w: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r>
        <w:t xml:space="preserve"> </w:t>
      </w:r>
      <w:r>
        <w:t xml:space="preserve">Chassis (8 layers) | 512 nodes; 64 TB;</w:t>
      </w:r>
      <w:r>
        <w:t xml:space="preserve"> </w:t>
      </w:r>
      <m:oMath>
        <m:r>
          <m:rPr>
            <m:sty m:val="p"/>
          </m:rPr>
          <m:t>≈</m:t>
        </m:r>
      </m:oMath>
      <w:r>
        <w:t xml:space="preserve">131 TB/s;</w:t>
      </w:r>
      <w:r>
        <w:t xml:space="preserve"> </w:t>
      </w:r>
      <m:oMath>
        <m:r>
          <m:rPr>
            <m:sty m:val="p"/>
          </m:rPr>
          <m:t>≈</m:t>
        </m:r>
      </m:oMath>
      <w:r>
        <w:t xml:space="preserve">197 TFLOPS FP64;</w:t>
      </w:r>
      <w:r>
        <w:t xml:space="preserve"> </w:t>
      </w:r>
      <m:oMath>
        <m:r>
          <m:rPr>
            <m:sty m:val="p"/>
          </m:rPr>
          <m:t>≈</m:t>
        </m:r>
      </m:oMath>
      <w:r>
        <w:t xml:space="preserve">8–10 kW</w:t>
      </w:r>
      <w:r>
        <w:t xml:space="preserve"> </w:t>
      </w:r>
      <w:r>
        <w:t xml:space="preserve">Spine | 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47"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47"/>
    <w:bookmarkEnd w:id="48"/>
    <w:bookmarkStart w:id="49"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w:t>
      </w:r>
    </w:p>
    <w:p>
      <w:pPr>
        <w:pStyle w:val="BodyText"/>
      </w:pPr>
      <m:oMathPara>
        <m:oMathParaPr>
          <m:jc m:val="center"/>
        </m:oMathParaPr>
        <m:oMath>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r>
            <m:t>  </m:t>
          </m:r>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rPr>
              <m:sty m:val="p"/>
            </m:rPr>
            <m:t>≈</m:t>
          </m:r>
          <m:r>
            <m:t>3.0</m:t>
          </m:r>
          <m:r>
            <m:rPr>
              <m:sty m:val="p"/>
            </m:rPr>
            <m:t>,</m:t>
          </m:r>
          <m:r>
            <m:t>  </m:t>
          </m:r>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rPr>
              <m:sty m:val="p"/>
            </m:rPr>
            <m:t>≈</m:t>
          </m:r>
          <m:r>
            <m:t>6.0</m:t>
          </m:r>
          <m:r>
            <m:rPr>
              <m:sty m:val="p"/>
            </m:rPr>
            <m:t>.</m:t>
          </m: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End w:id="49"/>
    <w:bookmarkStart w:id="50"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131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bookmarkEnd w:id="50"/>
    <w:bookmarkStart w:id="51"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51"/>
    <w:bookmarkStart w:id="52"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w:t>
      </w:r>
    </w:p>
    <w:p>
      <w:pPr>
        <w:pStyle w:val="BodyText"/>
      </w:pPr>
      <w:r>
        <w:t xml:space="preserve">Table 3. Co-simulation verification results (48-node chassis, 3</w:t>
      </w:r>
      <m:oMath>
        <m:r>
          <m:rPr>
            <m:sty m:val="p"/>
          </m:rPr>
          <m:t>×</m:t>
        </m:r>
      </m:oMath>
      <w:r>
        <w:t xml:space="preserve">4</w:t>
      </w:r>
      <m:oMath>
        <m:r>
          <m:rPr>
            <m:sty m:val="p"/>
          </m:rPr>
          <m:t>×</m:t>
        </m:r>
      </m:oMath>
      <w:r>
        <w:t xml:space="preserve">4, seed 1, three parallel slices).</w:t>
      </w:r>
    </w:p>
    <w:p>
      <w:pPr>
        <w:pStyle w:val="BodyText"/>
      </w:pPr>
      <w:r>
        <w:t xml:space="preserve">Scenario | Routed | Pass-through | Wire bytes | Activations | Corrupt refused | Latency min/mean/max (cycles)</w:t>
      </w:r>
      <w:r>
        <w:t xml:space="preserve"> </w:t>
      </w:r>
      <w:r>
        <w:t xml:space="preserve">sweep | 48 | 0 | 1,104 | 48 | 0 | 24/25/27</w:t>
      </w:r>
      <w:r>
        <w:t xml:space="preserve"> </w:t>
      </w:r>
      <w:r>
        <w:t xml:space="preserve">vcsweep | 48 | 24 | 1,656 | 48 | 0 | 24/25/27</w:t>
      </w:r>
      <w:r>
        <w:t xml:space="preserve"> </w:t>
      </w:r>
      <w:r>
        <w:t xml:space="preserve">load | 450 | 50 | 18,281 | 450 | 0 | 9/149/558</w:t>
      </w:r>
      <w:r>
        <w:t xml:space="preserve"> </w:t>
      </w:r>
      <w:r>
        <w:t xml:space="preserve">hotspot | 380 | 20 | 151,191 | 380 | 0 | 27/2,888/8,279</w:t>
      </w:r>
      <w:r>
        <w:t xml:space="preserve"> </w:t>
      </w:r>
      <w:r>
        <w:t xml:space="preserve">stress | 1,087 | 65 | 164,914 | 1,051 | 36 | 12/671/8,279</w:t>
      </w:r>
      <w:r>
        <w:t xml:space="preserve"> </w:t>
      </w:r>
      <w:r>
        <w:t xml:space="preserve">replay | 289 | 11 | 52,132 | 285 | 4 | 14/758/8,255</w:t>
      </w:r>
    </w:p>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7">
        <w:r>
          <w:rPr>
            <w:rStyle w:val="Hyperlink"/>
          </w:rPr>
          <w:t xml:space="preserve">2.17</w:t>
        </w:r>
      </w:hyperlink>
      <w:r>
        <w:t xml:space="preserve">–2.18.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bookmarkEnd w:id="52"/>
    <w:bookmarkStart w:id="53"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p>
      <w:pPr>
        <w:pStyle w:val="BodyText"/>
      </w:pPr>
      <w:r>
        <w:t xml:space="preserve">Table 4. DUV MAC ASIC specifications (reference node; first-order estimates).</w:t>
      </w:r>
    </w:p>
    <w:p>
      <w:pPr>
        <w:pStyle w:val="BodyText"/>
      </w:pPr>
      <w:r>
        <w:t xml:space="preserve">Parameter | Specification</w:t>
      </w:r>
      <w:r>
        <w:t xml:space="preserve"> </w:t>
      </w:r>
      <w:r>
        <w:t xml:space="preserve">Process | 14 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r>
        <w:t xml:space="preserve"> </w:t>
      </w:r>
      <w:r>
        <w:t xml:space="preserve">Clocks | 1 GHz fabric/MAC clock; 10.7 Gb/s/pin LPDDR6 I/O via on-die PLL; source-synchronous fabric forwarding</w:t>
      </w:r>
      <w:r>
        <w:t xml:space="preserve"> </w:t>
      </w:r>
      <w:r>
        <w:t xml:space="preserve">MAC array | 192 FP64 FMA lanes; 384 FP16 lanes (2</w:t>
      </w:r>
      <m:oMath>
        <m:r>
          <m:rPr>
            <m:sty m:val="p"/>
          </m:rPr>
          <m:t>×</m:t>
        </m:r>
      </m:oMath>
      <w:r>
        <w:t xml:space="preserve"> </w:t>
      </w:r>
      <w:r>
        <w:t xml:space="preserve">packing); 768 INT8 lanes (4</w:t>
      </w:r>
      <m:oMath>
        <m:r>
          <m:rPr>
            <m:sty m:val="p"/>
          </m:rPr>
          <m:t>×</m:t>
        </m:r>
      </m:oMath>
      <w:r>
        <w:t xml:space="preserve"> </w:t>
      </w:r>
      <w:r>
        <w:t xml:space="preserve">packing)</w:t>
      </w:r>
      <w:r>
        <w:t xml:space="preserve"> </w:t>
      </w:r>
      <w:r>
        <w:t xml:space="preserve">Peak throughput |</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r>
        <w:t xml:space="preserve"> </w:t>
      </w:r>
      <w:r>
        <w:t xml:space="preserve">Memory interface | 192-bit LPDDR6 controller, 4</w:t>
      </w:r>
      <m:oMath>
        <m:r>
          <m:rPr>
            <m:sty m:val="p"/>
          </m:rPr>
          <m:t>×</m:t>
        </m:r>
      </m:oMath>
      <w:r>
        <w:t xml:space="preserve">48-bit channel groups, 10.7 Gb/s/pin,</w:t>
      </w:r>
      <w:r>
        <w:t xml:space="preserve"> </w:t>
      </w:r>
      <m:oMath>
        <m:r>
          <m:rPr>
            <m:sty m:val="p"/>
          </m:rPr>
          <m:t>≈</m:t>
        </m:r>
      </m:oMath>
      <w:r>
        <w:t xml:space="preserve">256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r>
        <w:t xml:space="preserve"> </w:t>
      </w:r>
      <w:r>
        <w:t xml:space="preserve">Fabric interface | AXI-Stream slave (RX) and master (TX), 128-bit @ 1 GHz,</w:t>
      </w:r>
      <w:r>
        <w:t xml:space="preserve"> </w:t>
      </w:r>
      <m:oMath>
        <m:r>
          <m:rPr>
            <m:sty m:val="p"/>
          </m:rPr>
          <m:t>≈</m:t>
        </m:r>
      </m:oMath>
      <w:r>
        <w:t xml:space="preserve">16 GB/s per direction; wormhole framing, end-to-end CRC per message</w:t>
      </w:r>
      <w:r>
        <w:t xml:space="preserve"> </w:t>
      </w:r>
      <w:r>
        <w:t xml:space="preserve">Doorbell DMA | byte counter, running CRC, DEST compare; DOORBELL_TRIG/DOORBELL_ACK and NODE_ERR on the sideband (Section</w:t>
      </w:r>
      <w:r>
        <w:t xml:space="preserve"> </w:t>
      </w:r>
      <w:hyperlink w:anchor="sec:2.9">
        <w:r>
          <w:rPr>
            <w:rStyle w:val="Hyperlink"/>
          </w:rPr>
          <w:t xml:space="preserve">2.9</w:t>
        </w:r>
      </w:hyperlink>
      <w:r>
        <w:t xml:space="preserve">)</w:t>
      </w:r>
      <w:r>
        <w:t xml:space="preserve"> </w:t>
      </w:r>
      <w:r>
        <w:t xml:space="preserve">On-chip SRAM |</w:t>
      </w:r>
      <w:r>
        <w:t xml:space="preserve"> </w:t>
      </w:r>
      <m:oMath>
        <m:r>
          <m:rPr>
            <m:sty m:val="p"/>
          </m:rPr>
          <m:t>≈</m:t>
        </m:r>
      </m:oMath>
      <w:r>
        <w:t xml:space="preserve">1–2 MB: elastic input buffer of at least one maximum-length message (compiler-set capacity), MAC staging, CRC/DMA workspace</w:t>
      </w:r>
      <w:r>
        <w:t xml:space="preserve"> </w:t>
      </w:r>
      <w:r>
        <w:t xml:space="preserve">Power |</w:t>
      </w:r>
      <w:r>
        <w:t xml:space="preserve"> </w:t>
      </w: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r>
        <w:t xml:space="preserve"> </w:t>
      </w:r>
      <w:r>
        <w:t xml:space="preserve">Package | Variant A: socketed LGA/card-edge,</w:t>
      </w:r>
      <w:r>
        <w:t xml:space="preserve"> </w:t>
      </w:r>
      <m:oMath>
        <m:r>
          <m:rPr>
            <m:sty m:val="p"/>
          </m:rPr>
          <m:t>≈</m:t>
        </m:r>
      </m:oMath>
      <w:r>
        <w:t xml:space="preserve">800–850 pins,</w:t>
      </w:r>
      <w:r>
        <w:t xml:space="preserve"> </w:t>
      </w:r>
      <m:oMath>
        <m:r>
          <m:rPr>
            <m:sty m:val="p"/>
          </m:rPr>
          <m:t>≈</m:t>
        </m:r>
      </m:oMath>
      <w:r>
        <w:t xml:space="preserve">20 mm from the CAMM2 socket; Variant B: mounted on the module substrate</w:t>
      </w:r>
    </w:p>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chip is a second, distinct die: a RISC-V BMC/SoC that owns the chassis management plane (Section</w:t>
      </w:r>
      <w:r>
        <w:t xml:space="preserve"> </w:t>
      </w:r>
      <w:hyperlink w:anchor="sec:2.17">
        <w:r>
          <w:rPr>
            <w:rStyle w:val="Hyperlink"/>
          </w:rPr>
          <w:t xml:space="preserve">2.17</w:t>
        </w:r>
      </w:hyperlink>
      <w:r>
        <w:t xml:space="preserve">). Unlike the compute nodes, which are fixed-function MAC ASICs, the router chip is fully programmable—it runs firmware from on-chip ROM, handles PCIe Gen5 x16 host uplinks through its integrated PHY (Section</w:t>
      </w:r>
      <w:r>
        <w:t xml:space="preserve"> </w:t>
      </w:r>
      <w:hyperlink w:anchor="sec:4.2">
        <w:r>
          <w:rPr>
            <w:rStyle w:val="Hyperlink"/>
          </w:rPr>
          <w:t xml:space="preserve">4.2</w:t>
        </w:r>
      </w:hyperlink>
      <w:r>
        <w:t xml:space="preserve">), performs POST discovery, evaluates MoE gating networks, attaches NVMe storage for its own persistence tier, and dispatches tokens into the fabric. The router die is smaller than the compute die (no MAC array, no 192-bit LPDDR6 PHY; its DRAM interface is a single LPDDR5-class controller window sized in hundreds of megabytes), uses the same mature-node process, carries an SRAM bank synthesized anywhere in a 500 KB–32 MB range by board tier,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eleven unit types, selected at compile time by the kernel mapper (Section</w:t>
      </w:r>
      <w:r>
        <w:t xml:space="preserve"> </w:t>
      </w:r>
      <w:hyperlink w:anchor="sec:2.7">
        <w:r>
          <w:rPr>
            <w:rStyle w:val="Hyperlink"/>
          </w:rPr>
          <w:t xml:space="preserve">2.7</w:t>
        </w:r>
      </w:hyperlink>
      <w:r>
        <w:t xml:space="preserve">):</w:t>
      </w:r>
    </w:p>
    <w:p>
      <w:pPr>
        <w:pStyle w:val="BodyText"/>
      </w:pPr>
      <w:r>
        <w:t xml:space="preserve">Table 5. Compute unit taxonomy (per-node; reference configuration).</w:t>
      </w:r>
    </w:p>
    <w:p>
      <w:pPr>
        <w:pStyle w:val="BodyText"/>
      </w:pPr>
      <w:r>
        <w:t xml:space="preserve">Unit | Precision | Pipeline latency | Operation class | Workload mapping</w:t>
      </w:r>
      <w:r>
        <w:t xml:space="preserve"> </w:t>
      </w:r>
      <w:r>
        <w:t xml:space="preserve">fp16_fma | FP16 | 3 cycles | Fused Multiply-Add | FP16 transformer inference, mixed-precision stencil halos</w:t>
      </w:r>
      <w:r>
        <w:t xml:space="preserve"> </w:t>
      </w:r>
      <w:r>
        <w:t xml:space="preserve">bf16_fma | BF16 | 3 cycles | Fused Multiply-Add | MoE expert weight-streaming, dense MLP projections (default)</w:t>
      </w:r>
      <w:r>
        <w:t xml:space="preserve"> </w:t>
      </w:r>
      <w:r>
        <w:t xml:space="preserve">fp32_fma | FP32 | 3 cycles | Fused Multiply-Add | High-precision layer norms, attention softmax denominators</w:t>
      </w:r>
      <w:r>
        <w:t xml:space="preserve"> </w:t>
      </w:r>
      <w:r>
        <w:t xml:space="preserve">fp64_fma | FP64 | 3 cycles | Fused Multiply-Add | FP64 stencil computation, scientific HPC kernels</w:t>
      </w:r>
      <w:r>
        <w:t xml:space="preserve"> </w:t>
      </w:r>
      <w:r>
        <w:t xml:space="preserve">fp16_mac_array | FP16 | variable | Systolic MAC array | FP16 attention QKV projections</w:t>
      </w:r>
      <w:r>
        <w:t xml:space="preserve"> </w:t>
      </w:r>
      <w:r>
        <w:t xml:space="preserve">bf16_mac_array | BF16 | variable | Systolic MAC array | BF16 attention QKV projections (default)</w:t>
      </w:r>
      <w:r>
        <w:t xml:space="preserve"> </w:t>
      </w:r>
      <w:r>
        <w:t xml:space="preserve">fp32_alu | FP32 | 3–28 cycles | ALU (ADD/SUB/MUL/DIV/MIN/MAX/CMP) | Layer norm, softmax, activation functions</w:t>
      </w:r>
      <w:r>
        <w:t xml:space="preserve"> </w:t>
      </w:r>
      <w:r>
        <w:t xml:space="preserve">int8_mac | INT8 | 2 cycles | Multiply-Accumulate | Quantized inference, INT8 weight-stationary kernels</w:t>
      </w:r>
      <w:r>
        <w:t xml:space="preserve"> </w:t>
      </w:r>
      <w:r>
        <w:t xml:space="preserve">int4_mac_array | INT4/INT8 | variable | Systolic MAC array | INT4 quantized inference (4</w:t>
      </w:r>
      <m:oMath>
        <m:r>
          <m:rPr>
            <m:sty m:val="p"/>
          </m:rPr>
          <m:t>×</m:t>
        </m:r>
      </m:oMath>
      <w:r>
        <w:t xml:space="preserve"> </w:t>
      </w:r>
      <w:r>
        <w:t xml:space="preserve">density vs BF16)</w:t>
      </w:r>
      <w:r>
        <w:t xml:space="preserve"> </w:t>
      </w:r>
      <w:r>
        <w:t xml:space="preserve">fp4_mac_array | FP4 (E2M1) | variable | Systolic MAC array | FP4 quantized inference (4</w:t>
      </w:r>
      <m:oMath>
        <m:r>
          <m:rPr>
            <m:sty m:val="p"/>
          </m:rPr>
          <m:t>×</m:t>
        </m:r>
      </m:oMath>
      <w:r>
        <w:t xml:space="preserve"> </w:t>
      </w:r>
      <w:r>
        <w:t xml:space="preserve">density vs BF16)</w:t>
      </w:r>
      <w:r>
        <w:t xml:space="preserve"> </w:t>
      </w:r>
      <w:r>
        <w:t xml:space="preserve">mxfp4_mac_array | MXFP4 | variable | Systolic MAC array | MXFP4 block-scaled (OCP microscaling) inference</w:t>
      </w:r>
    </w:p>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stub (Section</w:t>
      </w:r>
      <w:r>
        <w:t xml:space="preserve"> </w:t>
      </w:r>
      <w:hyperlink w:anchor="sec:2.9">
        <w:r>
          <w:rPr>
            <w:rStyle w:val="Hyperlink"/>
          </w:rPr>
          <w:t xml:space="preserve">2.9</w:t>
        </w:r>
      </w:hyperlink>
      <w:r>
        <w:t xml:space="preserve">) uses the ‘USE_FMA‘ parameter to select between bias-add mode (element-wise addition of a compile-time constant) and BF16 FMA mode (weight-stationary multiply against a resident weight).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53"/>
    <w:bookmarkStart w:id="54"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LPCAMM2/LPDDR6</w:t>
      </w:r>
      <w:r>
        <w:t xml:space="preserve"> </w:t>
      </w:r>
      <w:r>
        <w:t xml:space="preserve">for the</w:t>
      </w:r>
      <w:r>
        <w:t xml:space="preserve"> </w:t>
      </w:r>
      <m:oMath>
        <m:r>
          <m:rPr>
            <m:sty m:val="p"/>
          </m:rPr>
          <m:t>≈</m:t>
        </m:r>
      </m:oMath>
      <w:r>
        <w:t xml:space="preserve">256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54"/>
    <w:bookmarkEnd w:id="55"/>
    <w:bookmarkStart w:id="62" w:name="sec:discussion"/>
    <w:p>
      <w:pPr>
        <w:pStyle w:val="Heading1"/>
      </w:pPr>
      <w:r>
        <w:t xml:space="preserve">Discussion</w:t>
      </w:r>
    </w:p>
    <w:bookmarkStart w:id="56"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56"/>
    <w:bookmarkStart w:id="57" w:name="sec:4.2"/>
    <w:p>
      <w:pPr>
        <w:pStyle w:val="Heading2"/>
      </w:pPr>
      <w:r>
        <w:t xml:space="preserve">4.2 Host interface and I/O</w:t>
      </w:r>
    </w:p>
    <w:p>
      <w:pPr>
        <w:pStyle w:val="FirstParagraph"/>
      </w:pPr>
      <w:r>
        <w:t xml:space="preserve">The central router chip terminates dual PCIe Gen5 x16-class uplinks (</w:t>
      </w:r>
      <m:oMath>
        <m:r>
          <m:rPr>
            <m:sty m:val="p"/>
          </m:rPr>
          <m:t>≈</m:t>
        </m:r>
      </m:oMath>
      <w:r>
        <w:t xml:space="preserve">128 GB/s aggregate) or 100/200 GbE equivalents.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on-router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and remains well below the</w:t>
      </w:r>
      <w:r>
        <w:t xml:space="preserve"> </w:t>
      </w:r>
      <m:oMath>
        <m:r>
          <m:rPr>
            <m:sty m:val="p"/>
          </m:rPr>
          <m:t>≈</m:t>
        </m:r>
      </m:oMath>
      <w:r>
        <w:t xml:space="preserve">128 GB/s uplink.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57"/>
    <w:bookmarkStart w:id="58"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58"/>
    <w:bookmarkStart w:id="59"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synthesis, place-and-route, timing closure, or silicon measurement behind the bandwidth, power, thermal, or cost figures.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would need roughly 0.3–1 MB of projector weights—5–15</w:t>
      </w:r>
      <m:oMath>
        <m:r>
          <m:rPr>
            <m:sty m:val="p"/>
          </m:rPr>
          <m:t>×</m:t>
        </m:r>
      </m:oMath>
      <w:r>
        <w:t xml:space="preserve"> </w:t>
      </w:r>
      <w:r>
        <w:t xml:space="preserve">the 64 KB gating SRAM—so the router sizing and gating evaluation are likewise projections.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(Section</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59"/>
    <w:bookmarkStart w:id="60"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60"/>
    <w:bookmarkStart w:id="61" w:name="sec:4.6"/>
    <w:p>
      <w:pPr>
        <w:pStyle w:val="Heading2"/>
      </w:pPr>
      <w:r>
        <w:t xml:space="preserve">4.6 Security posture, design-for-test, and manufacturing readiness</w:t>
      </w:r>
    </w:p>
    <w:p>
      <w:pPr>
        <w:pStyle w:val="FirstParagraph"/>
      </w:pPr>
      <w:r>
        <w:t xml:space="preserve">The security model follows from the same property that makes the fabric verifiable: state lives in exactly one place. Compute nodes hold no secrets and no mutable control state—their only configuration is the POST-loaded routing bitmap and kernel constants—so there is nothing on a node to escalate against, and the lxy_repeater’s hardwired bitmask barrier (Section</w:t>
      </w:r>
      <w:r>
        <w:t xml:space="preserve"> </w:t>
      </w:r>
      <w:hyperlink w:anchor="sec:2.1">
        <w:r>
          <w:rPr>
            <w:rStyle w:val="Hyperlink"/>
          </w:rPr>
          <w:t xml:space="preserve">2.1</w:t>
        </w:r>
      </w:hyperlink>
      <w:r>
        <w:t xml:space="preserve">) doubles as a hardware isolation boundary no firmware can reconfigure because no such register exists</w:t>
      </w:r>
      <w:r>
        <w:t xml:space="preserve">. The attack surface concentrates on the router chip, which the RTL addresses at four layers. First, secure boot: the 64 KB boot ROM is mask-programmed (combinational, unwritable by construction), and the firmware image it chains to is hash-verified before the CLINT timer or PNM window is released to user code. Second, privilege separation: the RV32 core implements machine-mode CSRs plus physical memory protection (PMP), and the seL4 deployment option (Section</w:t>
      </w:r>
      <w:r>
        <w:t xml:space="preserve"> </w:t>
      </w:r>
      <w:hyperlink w:anchor="sec:2.17">
        <w:r>
          <w:rPr>
            <w:rStyle w:val="Hyperlink"/>
          </w:rPr>
          <w:t xml:space="preserve">2.17</w:t>
        </w:r>
      </w:hyperlink>
      <w:r>
        <w:t xml:space="preserve">) replaces the monolithic kernel with a formally verified microkernel whose capability system mediates every device-frame mapping—the root task cannot touch UART or PNM registers without an explicit capability grant. Third, debug lockdown: the JTAG TAP present for bring-up fuses into a locked state at production, with re-entry requiring a signed challenge over the host PCIe link. Fourth, sideband integrity: NODE_ERR and TOPOLOGY_RDY travel on physically separate wires (Section</w:t>
      </w:r>
      <w:r>
        <w:t xml:space="preserve"> </w:t>
      </w:r>
      <w:hyperlink w:anchor="sec:2.4">
        <w:r>
          <w:rPr>
            <w:rStyle w:val="Hyperlink"/>
          </w:rPr>
          <w:t xml:space="preserve">2.4</w:t>
        </w:r>
      </w:hyperlink>
      <w:r>
        <w:t xml:space="preserve">) that no data-path fault can mask, so fault injection on the NoB cannot silence the error channel that Section</w:t>
      </w:r>
      <w:r>
        <w:t xml:space="preserve"> </w:t>
      </w:r>
      <w:hyperlink w:anchor="sec:4.1">
        <w:r>
          <w:rPr>
            <w:rStyle w:val="Hyperlink"/>
          </w:rPr>
          <w:t xml:space="preserve">4.1</w:t>
        </w:r>
      </w:hyperlink>
      <w:r>
        <w:t xml:space="preserve">’s recovery protocol depends on.</w:t>
      </w:r>
    </w:p>
    <w:p>
      <w:pPr>
        <w:pStyle w:val="BodyText"/>
      </w:pPr>
      <w:r>
        <w:t xml:space="preserve">Design-for-test follows the same concentration principle. Both dies carry a JTAG TAP; the router SoC adds a scan-mode override on its clock-gating cells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On-chip memories—router SRAM, node elastic buffers—are reached by a bounded MBIST sequence run from ROM before POST Phase 1, so a bad SRAM word never reaches the topology inventory. The PHY blocks self-test through loopback: the PCIe endpoint’s LOOPBACK parameter drives LTSSM through lane bring-up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61"/>
    <w:bookmarkEnd w:id="62"/>
    <w:bookmarkStart w:id="63"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RISC-V BMC/router chip at the spine root provides a programmable management plane compatible with Linux and seL4, handling topology discovery, workload dispatch, and host PCIe on a single socketed, cold-swappable die.</w:t>
      </w:r>
    </w:p>
    <w:p>
      <w:pPr>
        <w:pStyle w:val="BodyText"/>
      </w:pPr>
      <w:r>
        <w:t xml:space="preserve">The reference chassis—64 TB, 131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20</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63"/>
    <w:bookmarkStart w:id="64"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30</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23, 2026</vt:lpwstr>
  </property>
</Properties>
</file>