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4.png" ContentType="image/png"/>
  <Override PartName="/word/media/rId39.png" ContentType="image/png"/>
  <Override PartName="/word/media/rId6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October 20,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(two 64 GB 192-bit modules per node, 384-bit,  512 GB/s node-local), 262 TB/s aggregate node-local bandwidth, and approximately 197 TFLOPS FP64 at approximately 15 W per node—8–10 kW per chassis against 0.25 MW for capacity-equivalent HBM—managed by one socketed router-bridge chip that a host—a Raspberry Pi or any third-party microcontroller—drives over a simple host link, handling topology discovery, workload dispatch, and the host’s command stream</w:t>
      </w:r>
      <w:r>
        <w:t xml:space="preserve">.</w:t>
      </w:r>
    </w:p>
    <w:p>
      <w:pPr>
        <w:pStyle w:val="BodyText"/>
      </w:pPr>
      <w:r>
        <w:t xml:space="preserve">The result is bit-exact-reproducible computation, deadlock freedom by construction, compile-time latency bounds, and a fraction of the thermal envelope, interposer dependency, and manufacturing complexity of monolithic GPU accelerators. Validation scope is stated explicitly: the machine-checked claims are byte-exact delivery and replay, doorbell refusal accounting, cycle-exact closed-form latency on a 100 MHz behavioral co-simulation, a real-checkpoint numeric forward pass that is greedy-token-identical to a BF16 reference,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w:t>
      </w:r>
      <w:r>
        <w:t xml:space="preserve"> </w:t>
      </w:r>
      <w:hyperlink w:anchor="sec:3.5">
        <w:r>
          <w:rPr>
            <w:rStyle w:val="Hyperlink"/>
          </w:rPr>
          <w:t xml:space="preserve">3.5</w:t>
        </w:r>
      </w:hyperlink>
      <w:r>
        <w:t xml:space="preserve">, 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Host Bridge; Raspberry Pi; High-Performance Computing</w:t>
      </w:r>
    </w:p>
    <w:bookmarkEnd w:id="20"/>
    <w:bookmarkStart w:id="27"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w:t>
      </w:r>
      <w:r>
        <w:t xml:space="preserve"> </w:t>
      </w:r>
      <w:r>
        <w:t xml:space="preserve">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Start w:id="25" w:name="sec:1.5"/>
    <w:p>
      <w:pPr>
        <w:pStyle w:val="Heading2"/>
      </w:pPr>
      <w:r>
        <w:t xml:space="preserve">1.5 Related work</w:t>
      </w:r>
    </w:p>
    <w:p>
      <w:pPr>
        <w:pStyle w:val="FirstParagraph"/>
      </w:pPr>
      <w:r>
        <w:t xml:space="preserve">Processing-in-memory and near-memory computing have been studied for decades as remedies for the same bandwidth wall this paper attacks</w:t>
      </w:r>
      <w:r>
        <w:t xml:space="preserve">, and the recent survey literature organizes the design space around how far logic migrates toward the data and how that logic is programmed</w:t>
      </w:r>
      <w:r>
        <w:t xml:space="preserve">. PIM-enabled instructions, for example, attach vector instructions to memory modules while preserving a conventional host ISA and a coherent memory view</w:t>
      </w:r>
      <w:r>
        <w:t xml:space="preserve">.</w:t>
      </w:r>
    </w:p>
    <w:p>
      <w:pPr>
        <w:pStyle w:val="BodyText"/>
      </w:pPr>
      <w:r>
        <w:t xml:space="preserve">Three commercial lines define the current state of the art. UPMEM distributes simple programmable cores across the DRAM chips of standard DIMMs</w:t>
      </w:r>
      <w:r>
        <w:t xml:space="preserve">, later characterized in detail as a real PIM system</w:t>
      </w:r>
      <w:r>
        <w:t xml:space="preserve">; Samsung’s HBM-PIM embeds MAC units inside an HBM2 stack</w:t>
      </w:r>
      <w:r>
        <w:t xml:space="preserve">; and the AXDIMM family places an acceleration buffer on a host-attached DDR module</w:t>
      </w:r>
      <w:r>
        <w:t xml:space="preserve">. All three share two properties: compute scales with the memory package it is welded to (an interposer-bound stack or a vendor-specific buffer), and the resulting memory remains part of a coherent host hierarchy, so the programming model inherits caches, coherence, and operating-system virtual memory.</w:t>
      </w:r>
    </w:p>
    <w:p>
      <w:pPr>
        <w:pStyle w:val="BodyText"/>
      </w:pPr>
      <w:r>
        <w:t xml:space="preserve">The architecture in this paper departs from that line in three respects. First, the memory is unmodified commodity LPDDR6 CAMM2 (Section</w:t>
      </w:r>
      <w:r>
        <w:t xml:space="preserve"> </w:t>
      </w:r>
      <w:hyperlink w:anchor="sec:2.4">
        <w:r>
          <w:rPr>
            <w:rStyle w:val="Hyperlink"/>
          </w:rPr>
          <w:t xml:space="preserve">2.4</w:t>
        </w:r>
      </w:hyperlink>
      <w:r>
        <w:t xml:space="preserve">): socketed, field-replaceable, and interposer-free in the reference packaging, with the compute on a separate mature-node DUV ASIC beside the socket, so capacity scales by adding modules rather than by resizing stacks. Second, the modules are not part of a coherent host memory hierarchy: the chassis is a spatially scheduled dataflow machine in which the ahead-of-time compiler replaces coherence, caches, and runtime scheduling (Sections</w:t>
      </w:r>
      <w:r>
        <w:t xml:space="preserve"> </w:t>
      </w:r>
      <w:hyperlink w:anchor="sec:1.2">
        <w:r>
          <w:rPr>
            <w:rStyle w:val="Hyperlink"/>
          </w:rPr>
          <w:t xml:space="preserve">1.2</w:t>
        </w:r>
      </w:hyperlink>
      <w:r>
        <w:t xml:space="preserve"> </w:t>
      </w:r>
      <w:r>
        <w:t xml:space="preserve">and</w:t>
      </w:r>
      <w:r>
        <w:t xml:space="preserve"> </w:t>
      </w:r>
      <w:hyperlink w:anchor="sec:2.7">
        <w:r>
          <w:rPr>
            <w:rStyle w:val="Hyperlink"/>
          </w:rPr>
          <w:t xml:space="preserve">2.7</w:t>
        </w:r>
      </w:hyperlink>
      <w:r>
        <w:t xml:space="preserve">). Third, transport is a deterministic single-spine wormhole fabric with an end-to-end doorbell and closed-form latency (Sections</w:t>
      </w:r>
      <w:r>
        <w:t xml:space="preserve"> </w:t>
      </w:r>
      <w:hyperlink w:anchor="sec:2.1">
        <w:r>
          <w:rPr>
            <w:rStyle w:val="Hyperlink"/>
          </w:rPr>
          <w:t xml:space="preserve">2.1</w:t>
        </w:r>
      </w:hyperlink>
      <w:r>
        <w:t xml:space="preserve">,</w:t>
      </w:r>
      <w:r>
        <w:t xml:space="preserve"> </w:t>
      </w:r>
      <w:hyperlink w:anchor="sec:2.9">
        <w:r>
          <w:rPr>
            <w:rStyle w:val="Hyperlink"/>
          </w:rPr>
          <w:t xml:space="preserve">2.9</w:t>
        </w:r>
      </w:hyperlink>
      <w:r>
        <w:t xml:space="preserve">, and</w:t>
      </w:r>
      <w:r>
        <w:t xml:space="preserve"> </w:t>
      </w:r>
      <w:hyperlink w:anchor="sec:3.4">
        <w:r>
          <w:rPr>
            <w:rStyle w:val="Hyperlink"/>
          </w:rPr>
          <w:t xml:space="preserve">3.4</w:t>
        </w:r>
      </w:hyperlink>
      <w:r>
        <w:t xml:space="preserve">), so its correctness claims reduce to byte-exact delivery and replay—properties the co-simulation machine-checks (Section</w:t>
      </w:r>
      <w:r>
        <w:t xml:space="preserve"> </w:t>
      </w:r>
      <w:hyperlink w:anchor="sec:2.15">
        <w:r>
          <w:rPr>
            <w:rStyle w:val="Hyperlink"/>
          </w:rPr>
          <w:t xml:space="preserve">2.15</w:t>
        </w:r>
      </w:hyperlink>
      <w:r>
        <w:t xml:space="preserve">) rather than argues statistically. The routing theory that makes determinism deadlock-free is classical</w:t>
      </w:r>
      <w:r>
        <w:t xml:space="preserve">; the contribution here is the composition into a capacity-serving machine from commodity parts, together with the verification methodology that holds the composition honest.</w:t>
      </w:r>
    </w:p>
    <w:p>
      <w:pPr>
        <w:pStyle w:val="BodyText"/>
      </w:pPr>
      <w:r>
        <w:t xml:space="preserve">The accelerator families that dominate current serving sit at the opposite end of the design space, and two of them bracket the capacity argument directly. Groq’s static-dataflow language processing unit holds the entire model in on-chip SRAM (roughly 230 MB per chip), eliminating instruction fetch for sub-microsecond dispatch; Nvidia licensed the technology for $20 billion in late 2025 to anchor its LPX racks</w:t>
      </w:r>
      <w:r>
        <w:t xml:space="preserve">. Cerebras’ CS-3 waferscale engine scales the same SRAM-resident idea to 44 GB on a single wafer</w:t>
      </w:r>
      <w:r>
        <w:t xml:space="preserve">. Both are bandwidth-dense but capacity-poor: on-chip SRAM costs one to two orders of magnitude more per bit than DRAM, so a 64 TB resident model is unreachable by construction (Section</w:t>
      </w:r>
      <w:r>
        <w:t xml:space="preserve"> </w:t>
      </w:r>
      <w:hyperlink w:anchor="sec:4.5">
        <w:r>
          <w:rPr>
            <w:rStyle w:val="Hyperlink"/>
          </w:rPr>
          <w:t xml:space="preserve">4.5</w:t>
        </w:r>
      </w:hyperlink>
      <w:r>
        <w:t xml:space="preserve">). Taalas’ HC1 takes the opposite route and hard-codes the model: the weights are etched into a mask-ROM recall fabric on a reticle-sized 6 nm die, with SRAM only for the KV cache and adapters, reaching roughly 17,000 tokens per second per user on Llama-3.1-8B at roughly 200 W</w:t>
      </w:r>
      <w:r>
        <w:t xml:space="preserve">—an order-of-magnitude validation of the capacity-bound decode thesis, at the price of freezing the model in silicon, since any model change is a two-metal-layer re-spin (Section</w:t>
      </w:r>
      <w:r>
        <w:t xml:space="preserve"> </w:t>
      </w:r>
      <w:hyperlink w:anchor="sec:4.4">
        <w:r>
          <w:rPr>
            <w:rStyle w:val="Hyperlink"/>
          </w:rPr>
          <w:t xml:space="preserve">4.4</w:t>
        </w:r>
      </w:hyperlink>
      <w:r>
        <w:t xml:space="preserve">). AMD acquired Taalas in August 2026, planning to pair its Instinct racks with the HC1-derived decode accelerators</w:t>
      </w:r>
      <w:r>
        <w:t xml:space="preserve">, the same prefill-heavy/compute-on-GPU and capacity-heavy/decode-offload split Section</w:t>
      </w:r>
      <w:r>
        <w:t xml:space="preserve"> </w:t>
      </w:r>
      <w:hyperlink w:anchor="sec:4.5">
        <w:r>
          <w:rPr>
            <w:rStyle w:val="Hyperlink"/>
          </w:rPr>
          <w:t xml:space="preserve">4.5</w:t>
        </w:r>
      </w:hyperlink>
      <w:r>
        <w:t xml:space="preserve"> </w:t>
      </w:r>
      <w:r>
        <w:t xml:space="preserve">argues for. PNM occupies the quadrant those systems leave open: commodity DRAM for the capacity the serving regime actually demands, a per-node DUV MAC for the arithmetic, and an ahead-of-time compiler that keeps the model software-reprogrammable, so the capacity economics of the MSIC are reached without its model lock-in.</w:t>
      </w:r>
    </w:p>
    <w:bookmarkEnd w:id="25"/>
    <w:bookmarkStart w:id="26" w:name="sec:1.6"/>
    <w:p>
      <w:pPr>
        <w:pStyle w:val="Heading2"/>
      </w:pPr>
      <w:r>
        <w:t xml:space="preserve">1.6 Contributions</w:t>
      </w:r>
    </w:p>
    <w:p>
      <w:pPr>
        <w:pStyle w:val="FirstParagraph"/>
      </w:pPr>
      <w:r>
        <w:t xml:space="preserve">This paper makes five contributions. First, an architecture specification: the single-spine deterministic wormhole fabric with dimension-order on-board paths, the doorbell activation discipline, the four-class virtual-channel deadlock argument, and the reference 512-node, 64 TB chassis, with closed-form latency and spine-sizing rules (Sections</w:t>
      </w:r>
      <w:r>
        <w:t xml:space="preserve"> </w:t>
      </w:r>
      <w:hyperlink w:anchor="sec:2.1">
        <w:r>
          <w:rPr>
            <w:rStyle w:val="Hyperlink"/>
          </w:rPr>
          <w:t xml:space="preserve">2.1</w:t>
        </w:r>
      </w:hyperlink>
      <w:r>
        <w:t xml:space="preserve">–2.4, 2.9, 3.1, 3.4, and 4.3). Second, a five-stage ahead-of-time compilation pipeline that lowers HuggingFace safetensors models and typed source-language IRs onto physical coordinates, with capacity-aware expert placement, KV-cache budget reservation, and static dispatch schedules (Sections</w:t>
      </w:r>
      <w:r>
        <w:t xml:space="preserve"> </w:t>
      </w:r>
      <w:hyperlink w:anchor="sec:2.6">
        <w:r>
          <w:rPr>
            <w:rStyle w:val="Hyperlink"/>
          </w:rPr>
          <w:t xml:space="preserve">2.6</w:t>
        </w:r>
      </w:hyperlink>
      <w:r>
        <w:t xml:space="preserve">–2.8). Third, a machine-checking methodology for the transport claims: a deterministic cycle-exact co-simulation of the Verilog fabric whose five oracles verify byte conservation, zero misroutes, doorbell accounting against an independent software twin, kernel results against a golden model, and exact closed-form latency, including bit-exact replay, a discrete-event cross-check of the egress arbiter, a real-checkpoint numeric forward pass that is greedy-token-identical to a BF16 reference on the tested prompts,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Fourth, an explicit validation-scope discipline: every bandwidth, power, thermal, and cost figure is labeled as a projection, and every machine-checked claim is enumerated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Fifth, an open hardware and software artifact: the Verilog fabric, compute-unit library, and a CPU-less router bridge with a host link (SPI on a Raspberry Pi, or any third-party microcontroller), with matching Go and C firmware twins, the model compiler, PCB and assembly models, and a reproducible test suite in the companion repository</w:t>
      </w:r>
      <w:r>
        <w:t xml:space="preserve">.</w:t>
      </w:r>
    </w:p>
    <w:bookmarkEnd w:id="26"/>
    <w:bookmarkEnd w:id="27"/>
    <w:bookmarkStart w:id="63" w:name="sec:methods"/>
    <w:p>
      <w:pPr>
        <w:pStyle w:val="Heading1"/>
      </w:pPr>
      <w:r>
        <w:t xml:space="preserve">Methods</w:t>
      </w:r>
    </w:p>
    <w:bookmarkStart w:id="32"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(Figure </w:t>
      </w:r>
      <w:hyperlink w:anchor="fig:topology">
        <w:r>
          <w:rPr>
            <w:rStyle w:val="Hyperlink"/>
          </w:rPr>
          <w:t xml:space="preserve">1</w:t>
        </w:r>
      </w:hyperlink>
      <w:r>
        <w:t xml:space="preserve">). Commodity DRAM (192-bit LPDDR6 CAMM2) holds all weights and state. A DUV MAC ASIC beside each module performs the only computation. Stateless Hardware Flit Repeaters (HFRs) and the combinational lxy_repeaters form the entire data path. And one central router bridge—the only stateful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accepts the host’s command and weight stream over a simple host link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The bridge has no processor of its own: the host—a Raspberry Pi or any third-party microcontroller—runs the boot sequence and the dispatch loop, so the same firmware serves a Pi, an MCU, or a workstation. Everything on the hot path is pure transport; everything with state lives in a single chip at the spine root.</w:t>
      </w:r>
    </w:p>
    <w:bookmarkStart w:id="31" w:name="fig:topology"/>
    <w:p>
      <w:pPr>
        <w:pStyle w:val="CaptionedFigure"/>
      </w:pPr>
      <w:r>
        <w:drawing>
          <wp:inline>
            <wp:extent cx="5164751" cy="2674275"/>
            <wp:effectExtent b="0" l="0" r="0" t="0"/>
            <wp:docPr descr="" title="" id="29" name="Picture"/>
            <a:graphic>
              <a:graphicData uri="http://schemas.openxmlformats.org/drawingml/2006/picture">
                <pic:pic>
                  <pic:nvPicPr>
                    <pic:cNvPr descr="figures/fig_topology.png" id="30" name="Picture"/>
                    <pic:cNvPicPr>
                      <a:picLocks noChangeArrowheads="1" noChangeAspect="1"/>
                    </pic:cNvPicPr>
                  </pic:nvPicPr>
                  <pic:blipFill>
                    <a:blip r:embed="rId28"/>
                    <a:stretch>
                      <a:fillRect/>
                    </a:stretch>
                  </pic:blipFill>
                  <pic:spPr bwMode="auto">
                    <a:xfrm>
                      <a:off x="0" y="0"/>
                      <a:ext cx="5164751" cy="2674275"/>
                    </a:xfrm>
                    <a:prstGeom prst="rect">
                      <a:avLst/>
                    </a:prstGeom>
                    <a:noFill/>
                    <a:ln w="9525">
                      <a:noFill/>
                      <a:headEnd/>
                      <a:tailEnd/>
                    </a:ln>
                  </pic:spPr>
                </pic:pic>
              </a:graphicData>
            </a:graphic>
          </wp:inline>
        </w:drawing>
      </w:r>
    </w:p>
    <w:p>
      <w:pPr>
        <w:pStyle w:val="ImageCaption"/>
      </w:pPr>
      <w:r>
        <w:t xml:space="preserve">The reference chassis: eight X/Y node boards of 64 nodes each, stacked on a single Z-axis spine. The router chip at the spine root owns POST discovery, routing tables, weight upload, and token dispatch; every other data-path element is a stateless repeater or a fixed-function node.</w:t>
      </w:r>
    </w:p>
    <w:bookmarkEnd w:id="31"/>
    <w:bookmarkEnd w:id="32"/>
    <w:bookmarkStart w:id="33"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512 GB/s each node can read from its own memory (two 192-bit LPDDR6 modules):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3"/>
    <w:bookmarkStart w:id="34"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34"/>
    <w:bookmarkStart w:id="36" w:name="sec:2.4"/>
    <w:p>
      <w:pPr>
        <w:pStyle w:val="Heading2"/>
      </w:pPr>
      <w:r>
        <w:t xml:space="preserve">2.4 CAMM2 integration, packaging, and sideband signaling</w:t>
      </w:r>
    </w:p>
    <w:p>
      <w:pPr>
        <w:pStyle w:val="FirstParagraph"/>
      </w:pPr>
      <w:r>
        <w:t xml:space="preserve">Each compute node centers on JEDEC LPDDR6 CAMM2 memory modules (the socketable form factor that succeeds JESD318’s LPCAMM2)</w:t>
      </w:r>
      <w:r>
        <w:t xml:space="preserve">. LPDDR6 (JESD209-6) organizes its bus as 24-bit channels, each made of two 12-bit sub-channels; one CAMM2 module is 8</w:t>
      </w:r>
      <m:oMath>
        <m:r>
          <m:rPr>
            <m:sty m:val="p"/>
          </m:rPr>
          <m:t>×</m:t>
        </m:r>
      </m:oMath>
      <w:r>
        <w:t xml:space="preserve">24 bits (four 48-bit channel groups), i.e. a **192-bit** interface. The reference configuration pairs **two 64 GB modules per node** at 10.7 Gb/s/pin, so the node presents a **384-bit** (dual-module) bus yielding</w:t>
      </w:r>
      <w:r>
        <w:t xml:space="preserve"> </w:t>
      </w:r>
      <m:oMath>
        <m:r>
          <m:rPr>
            <m:sty m:val="p"/>
          </m:rPr>
          <m:t>≈</m:t>
        </m:r>
      </m:oMath>
      <w:r>
        <w:t xml:space="preserve">512 GB/s, while capacity stays 128 GB per node (64 TB per 512-node chassis) and each module remains an unmodified commodity part.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node’s two CAMM2 sockets flank one adjacent low-profile ASIC socket (land-grid-array or card-edge mezzanine), whose controller drives both 192-bit PHYs.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modules remain unmodified commodity parts. Placing each socket within roughly 20 mm of the ASIC keeps both LPDDR6 interfaces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bookmarkStart w:id="35" w:name="tab:1"/>
    <w:p>
      <w:pPr>
        <w:pStyle w:val="TableCaption"/>
      </w:pPr>
      <w:r>
        <w:t xml:space="preserve">Board-level pin and trace outline (per node; first-order estimates).</w:t>
      </w:r>
    </w:p>
    <w:tbl>
      <w:tblPr>
        <w:tblStyle w:val="Table"/>
        <w:tblW w:type="auto" w:w="0"/>
        <w:tblLook w:firstRow="1" w:lastRow="0" w:firstColumn="0" w:lastColumn="0" w:noHBand="0" w:noVBand="0" w:val="0020"/>
        <w:tblCaption w:val="Board-level pin and trace outline (per node; first-order estimates)."/>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Pins</w:t>
            </w:r>
          </w:p>
        </w:tc>
        <w:tc>
          <w:tcPr/>
          <w:p>
            <w:pPr>
              <w:pStyle w:val="Compact"/>
              <w:jc w:val="left"/>
            </w:pPr>
            <w:r>
              <w:t xml:space="preserve">Routing</w:t>
            </w:r>
          </w:p>
        </w:tc>
      </w:tr>
      <w:tr>
        <w:tc>
          <w:tcPr/>
          <w:p>
            <w:pPr>
              <w:pStyle w:val="Compact"/>
              <w:jc w:val="left"/>
            </w:pPr>
            <w:r>
              <w:t xml:space="preserve">CAMM2 sockets (LPDDR6, 192-bit,</w:t>
            </w:r>
            <w:r>
              <w:t xml:space="preserve"> </w:t>
            </w:r>
            <m:oMath>
              <m:r>
                <m:rPr>
                  <m:sty m:val="p"/>
                </m:rPr>
                <m:t>×</m:t>
              </m:r>
            </m:oMath>
            <w:r>
              <w:t xml:space="preserve">2/node)</w:t>
            </w:r>
          </w:p>
        </w:tc>
        <w:tc>
          <w:tcPr/>
          <w:p>
            <w:pPr>
              <w:pStyle w:val="Compact"/>
              <w:jc w:val="left"/>
            </w:pPr>
            <m:oMath>
              <m:r>
                <m:rPr>
                  <m:sty m:val="p"/>
                </m:rPr>
                <m:t>≈</m:t>
              </m:r>
            </m:oMath>
            <w:r>
              <w:t xml:space="preserve">600–650 each</w:t>
            </w:r>
          </w:p>
        </w:tc>
        <w:tc>
          <w:tcPr/>
          <w:p>
            <w:pPr>
              <w:pStyle w:val="Compact"/>
              <w:jc w:val="left"/>
            </w:pPr>
            <w:r>
              <w:t xml:space="preserve">DQ, 24 DQS pairs, CA/CS/CK, power/ground; each</w:t>
            </w:r>
            <w:r>
              <w:t xml:space="preserve"> </w:t>
            </w:r>
            <m:oMath>
              <m:r>
                <m:rPr>
                  <m:sty m:val="p"/>
                </m:rPr>
                <m:t>≤</m:t>
              </m:r>
            </m:oMath>
            <w:r>
              <w:t xml:space="preserve">20 mm to the shared ASIC socket</w:t>
            </w:r>
          </w:p>
        </w:tc>
      </w:tr>
      <w:tr>
        <w:tc>
          <w:tcPr/>
          <w:p>
            <w:pPr>
              <w:pStyle w:val="Compact"/>
              <w:jc w:val="left"/>
            </w:pPr>
            <w:r>
              <w:t xml:space="preserve">ASIC socket (Variant A)</w:t>
            </w:r>
          </w:p>
        </w:tc>
        <w:tc>
          <w:tcPr/>
          <w:p>
            <w:pPr>
              <w:pStyle w:val="Compact"/>
              <w:jc w:val="left"/>
            </w:pPr>
            <m:oMath>
              <m:r>
                <m:rPr>
                  <m:sty m:val="p"/>
                </m:rPr>
                <m:t>≈</m:t>
              </m:r>
            </m:oMath>
            <w:r>
              <w:t xml:space="preserve">800–850</w:t>
            </w:r>
          </w:p>
        </w:tc>
        <w:tc>
          <w:tcPr/>
          <w:p>
            <w:pPr>
              <w:pStyle w:val="Compact"/>
              <w:jc w:val="left"/>
            </w:pPr>
            <w:r>
              <w:t xml:space="preserve">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p>
        </w:tc>
      </w:tr>
      <w:tr>
        <w:tc>
          <w:tcPr/>
          <w:p>
            <w:pPr>
              <w:pStyle w:val="Compact"/>
              <w:jc w:val="left"/>
            </w:pPr>
            <w:r>
              <w:t xml:space="preserve">Sideband header</w:t>
            </w:r>
          </w:p>
        </w:tc>
        <w:tc>
          <w:tcPr/>
          <w:p>
            <w:pPr>
              <w:pStyle w:val="Compact"/>
            </w:pPr>
          </w:p>
        </w:tc>
        <w:tc>
          <w:tcPr/>
          <w:p>
            <w:pPr>
              <w:pStyle w:val="Compact"/>
              <w:jc w:val="left"/>
            </w:pPr>
            <w:r>
              <w:t xml:space="preserve">signal + ground (+3.3 V); daisy-chained control net up the spine</w:t>
            </w:r>
          </w:p>
        </w:tc>
      </w:tr>
      <w:tr>
        <w:tc>
          <w:tcPr/>
          <w:p>
            <w:pPr>
              <w:pStyle w:val="Compact"/>
              <w:jc w:val="left"/>
            </w:pPr>
            <w:r>
              <w:t xml:space="preserve">Spine mezzanine</w:t>
            </w:r>
          </w:p>
        </w:tc>
        <w:tc>
          <w:tcPr/>
          <w:p>
            <w:pPr>
              <w:pStyle w:val="Compact"/>
              <w:jc w:val="left"/>
            </w:pPr>
            <m:oMath>
              <m:r>
                <m:rPr>
                  <m:sty m:val="p"/>
                </m:rPr>
                <m:t>×</m:t>
              </m:r>
            </m:oMath>
            <w:r>
              <w:t xml:space="preserve"> </w:t>
            </w:r>
            <w:r>
              <w:t xml:space="preserve">lanes + control</w:t>
            </w:r>
          </w:p>
        </w:tc>
        <w:tc>
          <w:tcPr/>
          <w:p>
            <w:pPr>
              <w:pStyle w:val="Compact"/>
              <w:jc w:val="left"/>
            </w:pPr>
            <w:r>
              <w:t xml:space="preserve">per-link 128-bit source-synchronous with forwarded clock</w:t>
            </w:r>
          </w:p>
        </w:tc>
      </w:tr>
    </w:tbl>
    <w:bookmarkEnd w:id="35"/>
    <w:p>
      <w:pPr>
        <w:pStyle w:val="BodyText"/>
      </w:pPr>
      <w:r>
        <w:t xml:space="preserve">Every trace is impedance-controlled and length-matched within its group. The LPDDR6 escapes from the two CAMM2 sockets to the shared ASIC socket run</w:t>
      </w:r>
      <w:r>
        <w:t xml:space="preserve"> </w:t>
      </w:r>
      <m:oMath>
        <m:r>
          <m:rPr>
            <m:sty m:val="p"/>
          </m:rPr>
          <m:t>≤</m:t>
        </m:r>
      </m:oMath>
      <w:r>
        <w:t xml:space="preserve">20 mm each on dedicated DDR routing layers as tightly matched bundles—the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36"/>
    <w:bookmarkStart w:id="37"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host’s firmware drives the sequence; no node participates until the phase that addresses it.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per-node bandwidth (</w:t>
      </w:r>
      <m:oMath>
        <m:r>
          <m:rPr>
            <m:sty m:val="p"/>
          </m:rPr>
          <m:t>≈</m:t>
        </m:r>
      </m:oMath>
      <w:r>
        <w:t xml:space="preserve">512 GB/s from two 192-bit LPDDR6 CAMM2 modules),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on the per-node gating ASIC (Section</w:t>
      </w:r>
      <w:r>
        <w:t xml:space="preserve"> </w:t>
      </w:r>
      <w:hyperlink w:anchor="sec:2.17.1">
        <w:r>
          <w:rPr>
            <w:rStyle w:val="Hyperlink"/>
          </w:rPr>
          <w:t xml:space="preserve">2.17.1</w:t>
        </w:r>
      </w:hyperlink>
      <w:r>
        <w:t xml:space="preserve">),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the host link into the per-node gating ASIC’s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 0.7 MB of weights (128</w:t>
      </w:r>
      <w:r>
        <w:t xml:space="preserve"> </w:t>
      </w:r>
      <m:oMath>
        <m:r>
          <m:rPr>
            <m:sty m:val="p"/>
          </m:rPr>
          <m:t>×</m:t>
        </m:r>
      </m:oMath>
      <w:r>
        <w:t xml:space="preserve"> </w:t>
      </w:r>
      <w:r>
        <w:t xml:space="preserve">2,816</w:t>
      </w:r>
      <w:r>
        <w:t xml:space="preserve"> </w:t>
      </w:r>
      <m:oMath>
        <m:r>
          <m:rPr>
            <m:sty m:val="p"/>
          </m:rPr>
          <m:t>×</m:t>
        </m:r>
      </m:oMath>
      <w:r>
        <w:t xml:space="preserve"> </w:t>
      </w:r>
      <w:r>
        <w:t xml:space="preserve">2 B)—exactly the weight store the shipped gating ASIC provides—so only its per-token evaluation latency is a projection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host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host enters the dispatch loop: for MoE workloads, it dispatches tokens to the experts the gating ASICs selected;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node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7"/>
    <w:bookmarkStart w:id="38"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w:t>
      </w:r>
      <w:r>
        <w:t xml:space="preserve"> </w:t>
      </w:r>
      <w:r>
        <w:t xml:space="preserve">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host’s firmware (Section</w:t>
      </w:r>
      <w:r>
        <w:t xml:space="preserve"> </w:t>
      </w:r>
      <w:hyperlink w:anchor="sec:2.5">
        <w:r>
          <w:rPr>
            <w:rStyle w:val="Hyperlink"/>
          </w:rPr>
          <w:t xml:space="preserve">2.5</w:t>
        </w:r>
      </w:hyperlink>
      <w:r>
        <w:t xml:space="preserve">) boots the chassis over the host link,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banks at the full 512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8"/>
    <w:bookmarkStart w:id="43"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 (Figure </w:t>
      </w:r>
      <w:hyperlink w:anchor="fig:pipeline">
        <w:r>
          <w:rPr>
            <w:rStyle w:val="Hyperlink"/>
          </w:rPr>
          <w:t xml:space="preserve">2</w:t>
        </w:r>
      </w:hyperlink>
      <w:r>
        <w:t xml:space="preserv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bookmarkStart w:id="42" w:name="fig:pipeline"/>
    <w:p>
      <w:pPr>
        <w:pStyle w:val="CaptionedFigure"/>
      </w:pPr>
      <w:r>
        <w:drawing>
          <wp:inline>
            <wp:extent cx="5334000" cy="1913037"/>
            <wp:effectExtent b="0" l="0" r="0" t="0"/>
            <wp:docPr desc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1913037"/>
                    </a:xfrm>
                    <a:prstGeom prst="rect">
                      <a:avLst/>
                    </a:prstGeom>
                    <a:noFill/>
                    <a:ln w="9525">
                      <a:noFill/>
                      <a:headEnd/>
                      <a:tailEnd/>
                    </a:ln>
                  </pic:spPr>
                </pic:pic>
              </a:graphicData>
            </a:graphic>
          </wp:inline>
        </w:drawing>
      </w:r>
    </w:p>
    <w:p>
      <w:pPr>
        <w:pStyle w:val="ImageCaption"/>
      </w:pPr>
      <w:r>
        <w:t xml:space="preserve">The five-stage ahead-of-time pipeline lowers a safetensors archive and config.json into a static coordinate assignment, routing table, and dispatch schedule; emit, load, and execute complete the path from model file to doorbells firing.</w:t>
      </w:r>
    </w:p>
    <w:bookmarkEnd w:id="42"/>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43"/>
    <w:bookmarkStart w:id="44"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bridge, which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262 TB/s of node-local memory can serve, and far below the router’s raw decision capacity. Memory latency does not move this estimate: the companion benchmark’s memory analyzer evaluates each memory class as a bandwidth-bound rate (chassis aggregate bandwidth times</w:t>
      </w:r>
      <w:r>
        <w:t xml:space="preserve"> </w:t>
      </w:r>
      <w:r>
        <w:t xml:space="preserve">“(1–refresh)”</w:t>
      </w:r>
      <w:r>
        <w:t xml:space="preserve"> </w:t>
      </w:r>
      <w:r>
        <w:t xml:space="preserve">divided by the</w:t>
      </w:r>
      <w:r>
        <w:t xml:space="preserve"> </w:t>
      </w:r>
      <m:oMath>
        <m:r>
          <m:rPr>
            <m:sty m:val="p"/>
          </m:rPr>
          <m:t>≈</m:t>
        </m:r>
      </m:oMath>
      <w:r>
        <w:t xml:space="preserve">10 KB of traffic a token generates) and as a strict serial floor that charges each of the 30 decode layers one read-to-first-data wait. LPDDR6, LPDDR5X, LPDDR5, and the DDR5 baseline all clear the honest</w:t>
      </w:r>
      <w:r>
        <w:t xml:space="preserve"> </w:t>
      </w:r>
      <m:oMath>
        <m:r>
          <m:t>α</m:t>
        </m:r>
        <m:r>
          <m:rPr>
            <m:sty m:val="p"/>
          </m:rPr>
          <m:t>=</m:t>
        </m:r>
        <m:r>
          <m:t>7</m:t>
        </m:r>
        <m:r>
          <m:rPr>
            <m:sty m:val="p"/>
          </m:rPr>
          <m:t>/</m:t>
        </m:r>
        <m:r>
          <m:t>8</m:t>
        </m:r>
      </m:oMath>
      <w:r>
        <w:t xml:space="preserve"> </w:t>
      </w:r>
      <w:r>
        <w:t xml:space="preserve">anchor of</w:t>
      </w:r>
      <w:r>
        <w:t xml:space="preserve"> </w:t>
      </w:r>
      <m:oMath>
        <m:r>
          <m:rPr>
            <m:sty m:val="p"/>
          </m:rPr>
          <m:t>≈</m:t>
        </m:r>
      </m:oMath>
      <w:r>
        <w:t xml:space="preserve">1.1</w:t>
      </w:r>
      <m:oMath>
        <m:r>
          <m:rPr>
            <m:sty m:val="p"/>
          </m:rPr>
          <m:t>×</m:t>
        </m:r>
        <m:sSup>
          <m:e>
            <m:r>
              <m:t>10</m:t>
            </m:r>
          </m:e>
          <m:sup>
            <m:r>
              <m:t>6</m:t>
            </m:r>
          </m:sup>
        </m:sSup>
      </m:oMath>
      <w:r>
        <w:t xml:space="preserve"> </w:t>
      </w:r>
      <w:r>
        <w:t xml:space="preserve">tok/s by 1.5–2</w:t>
      </w:r>
      <m:oMath>
        <m:r>
          <m:rPr>
            <m:sty m:val="p"/>
          </m:rPr>
          <m:t>×</m:t>
        </m:r>
      </m:oMath>
      <w:r>
        <w:t xml:space="preserve"> </w:t>
      </w:r>
      <w:r>
        <w:t xml:space="preserve">(read-to-first-data</w:t>
      </w:r>
      <w:r>
        <w:t xml:space="preserve"> </w:t>
      </w:r>
      <m:oMath>
        <m:r>
          <m:rPr>
            <m:sty m:val="p"/>
          </m:rPr>
          <m:t>≈</m:t>
        </m:r>
      </m:oMath>
      <w:r>
        <w:t xml:space="preserve">15–20 ns, projections under the validation scope of Section</w:t>
      </w:r>
      <w:r>
        <w:t xml:space="preserve"> </w:t>
      </w:r>
      <w:hyperlink w:anchor="sec:4.4">
        <w:r>
          <w:rPr>
            <w:rStyle w:val="Hyperlink"/>
          </w:rPr>
          <w:t xml:space="preserve">4.4</w:t>
        </w:r>
      </w:hyperlink>
      <w:r>
        <w:t xml:space="preserve">), so the fabric—not the memory class—sets the ceiling; only high-latency off-node classes (HBM3E’s</w:t>
      </w:r>
      <w:r>
        <w:t xml:space="preserve"> </w:t>
      </w:r>
      <m:oMath>
        <m:r>
          <m:rPr>
            <m:sty m:val="p"/>
          </m:rPr>
          <m:t>≈</m:t>
        </m:r>
      </m:oMath>
      <w:r>
        <w:t xml:space="preserve">100 ns, GDDR6’s</w:t>
      </w:r>
      <w:r>
        <w:t xml:space="preserve"> </w:t>
      </w:r>
      <m:oMath>
        <m:r>
          <m:rPr>
            <m:sty m:val="p"/>
          </m:rPr>
          <m:t>≈</m:t>
        </m:r>
      </m:oMath>
      <w:r>
        <w:t xml:space="preserve">50 ns) fall below the anchor and would bind. Bandwidth never binds at any class: the aggregate node-local bus (262 TB/s at the reference) swamps the kilobyte-class per-token traffic by orders of magnitude. Optional per-layer dispatch replicas scale the decision rate linearly and remain deterministic because the routing function is pure; they do not raise the fabric-bound ceiling.</w:t>
      </w:r>
    </w:p>
    <w:bookmarkEnd w:id="44"/>
    <w:bookmarkStart w:id="49"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 The production compute datapath behind the same interface is the selectable MAC node of Section</w:t>
      </w:r>
      <w:r>
        <w:t xml:space="preserve"> </w:t>
      </w:r>
      <w:hyperlink w:anchor="sec:2.20">
        <w:r>
          <w:rPr>
            <w:rStyle w:val="Hyperlink"/>
          </w:rPr>
          <w:t xml:space="preserve">2.20</w:t>
        </w:r>
      </w:hyperlink>
      <w:r>
        <w:t xml:space="preserve">, which executes a real MoE-expert pass; the stub is retained precisely because its trivial, arithmetic-independent kernel keeps the transport proof clean.</w:t>
      </w:r>
    </w:p>
    <w:p>
      <w:pPr>
        <w:pStyle w:val="BodyText"/>
      </w:pPr>
      <w:r>
        <w:t xml:space="preserve">Every node—whether a MAC node or a repeater serving a CAMM slot—runs the same hardwired three-phase doorbell discipline (Figure </w:t>
      </w:r>
      <w:hyperlink w:anchor="fig:doorbell">
        <w:r>
          <w:rPr>
            <w:rStyle w:val="Hyperlink"/>
          </w:rPr>
          <w:t xml:space="preserve">3</w:t>
        </w:r>
      </w:hyperlink>
      <w:r>
        <w:t xml:space="preserv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Start w:id="48" w:name="fig:doorbell"/>
    <w:p>
      <w:pPr>
        <w:pStyle w:val="CaptionedFigure"/>
      </w:pPr>
      <w:r>
        <w:drawing>
          <wp:inline>
            <wp:extent cx="5334000" cy="2635721"/>
            <wp:effectExtent b="0" l="0" r="0" t="0"/>
            <wp:docPr descr="" title="" id="46" name="Picture"/>
            <a:graphic>
              <a:graphicData uri="http://schemas.openxmlformats.org/drawingml/2006/picture">
                <pic:pic>
                  <pic:nvPicPr>
                    <pic:cNvPr descr="figures/fig_doorbell.png" id="47" name="Picture"/>
                    <pic:cNvPicPr>
                      <a:picLocks noChangeArrowheads="1" noChangeAspect="1"/>
                    </pic:cNvPicPr>
                  </pic:nvPicPr>
                  <pic:blipFill>
                    <a:blip r:embed="rId45"/>
                    <a:stretch>
                      <a:fillRect/>
                    </a:stretch>
                  </pic:blipFill>
                  <pic:spPr bwMode="auto">
                    <a:xfrm>
                      <a:off x="0" y="0"/>
                      <a:ext cx="5334000" cy="2635721"/>
                    </a:xfrm>
                    <a:prstGeom prst="rect">
                      <a:avLst/>
                    </a:prstGeom>
                    <a:noFill/>
                    <a:ln w="9525">
                      <a:noFill/>
                      <a:headEnd/>
                      <a:tailEnd/>
                    </a:ln>
                  </pic:spPr>
                </pic:pic>
              </a:graphicData>
            </a:graphic>
          </wp:inline>
        </w:drawing>
      </w:r>
    </w:p>
    <w:p>
      <w:pPr>
        <w:pStyle w:val="ImageCaption"/>
      </w:pPr>
      <w:r>
        <w:t xml:space="preserve">The wire format and the three-condition doorbell. The CRC covers [MODULE_ID, CTRL, LEN, payload] — everything except LAYER_ID and the CRC bytes — so the destination field is inside CRC coverage; only a complete, valid, correctly addressed message fires DOORBELL_TRIG and DOORBELL_ACK.</w:t>
      </w:r>
    </w:p>
    <w:bookmarkEnd w:id="48"/>
    <w:bookmarkEnd w:id="49"/>
    <w:bookmarkStart w:id="50" w:name="sec:2.10"/>
    <w:p>
      <w:pPr>
        <w:pStyle w:val="Heading2"/>
      </w:pPr>
      <w:r>
        <w:t xml:space="preserve">2.10 Reliability and determinism</w:t>
      </w:r>
    </w:p>
    <w:p>
      <w:pPr>
        <w:pStyle w:val="FirstParagraph"/>
      </w:pPr>
      <w:r>
        <w:t xml:space="preserve">LPDDR6 provides on-die ECC; the MAC ASIC’s memory controller adds conventional SECDED on the bus. Every message carries an end-to-end CRC-16/CCITT-FALSE check over the protected body—[CTRL, DEST, LEN, payload]—and because the DEST field (MODULE_ID) is inside that coverage, a bit error that would corrupt a route decision is caught when the destination DMA refuses the doorbell (Section</w:t>
      </w:r>
      <w:r>
        <w:t xml:space="preserve"> </w:t>
      </w:r>
      <w:hyperlink w:anchor="sec:2.9">
        <w:r>
          <w:rPr>
            <w:rStyle w:val="Hyperlink"/>
          </w:rPr>
          <w:t xml:space="preserve">2.9</w:t>
        </w:r>
      </w:hyperlink>
      <w:r>
        <w:t xml:space="preserve">); there is no per-link CRC and no mid-fabric discard—a corrupt flit is dropped only at its destination doorbell, and the withheld ACK converts the loss into an observable NODE_ERR (Section</w:t>
      </w:r>
      <w:r>
        <w:t xml:space="preserve"> </w:t>
      </w:r>
      <w:hyperlink w:anchor="sec:4.1">
        <w:r>
          <w:rPr>
            <w:rStyle w:val="Hyperlink"/>
          </w:rPr>
          <w:t xml:space="preserve">4.1</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50"/>
    <w:bookmarkStart w:id="52" w:name="sec:2.11"/>
    <w:p>
      <w:pPr>
        <w:pStyle w:val="Heading2"/>
      </w:pPr>
      <w:r>
        <w:t xml:space="preserve">2.11 Target workloads</w:t>
      </w:r>
    </w:p>
    <w:bookmarkStart w:id="51"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51"/>
    <w:bookmarkEnd w:id="52"/>
    <w:bookmarkStart w:id="53"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The KV cache store/load/evict cycle is machine-checked end-to-end: KV commands ride the fabric as CRC-protected wormhole flits (CTRL opcodes 0xA0 for store, 0xB0 for load), the offload controller evicts the oldest entry when a bank reaches capacity, and a load returns a CRC-complete response flit the node doorbell accepts (Section</w:t>
      </w:r>
      <w:r>
        <w:t xml:space="preserve"> </w:t>
      </w:r>
      <w:hyperlink w:anchor="sec:2.15">
        <w:r>
          <w:rPr>
            <w:rStyle w:val="Hyperlink"/>
          </w:rPr>
          <w:t xml:space="preserve">2.15</w:t>
        </w:r>
      </w:hyperlink>
      <w:r>
        <w:t xml:space="preserve">). 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512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53"/>
    <w:bookmarkStart w:id="54"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54"/>
    <w:bookmarkStart w:id="55"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55"/>
    <w:bookmarkStart w:id="56"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Two opt-in KV scenarios exercise the cache banks of Section</w:t>
      </w:r>
      <w:r>
        <w:t xml:space="preserve"> </w:t>
      </w:r>
      <w:hyperlink w:anchor="sec:2.12">
        <w:r>
          <w:rPr>
            <w:rStyle w:val="Hyperlink"/>
          </w:rPr>
          <w:t xml:space="preserve">2.12</w:t>
        </w:r>
      </w:hyperlink>
      <w:r>
        <w:t xml:space="preserve">: kv stores CRC-validated entries into the per-column banks and loads them back as CRC-complete compute flits the node doorbell accepts (corrupt commands are drained and refused), and kvflow drives a small bank through fill, automatic eviction by the offload controller at capacity, and reload, machine-checking the circular FIFO window against a software twin that replays the same command sequence with the same eviction rule.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the host bridge (a byte-exact wormhole flit with its CRC-16, and the dispatch counter), and the host path end to end (SPI adapter, arbiter, and bridge composed, checking a register read-back, the emitted flit, and the result path).</w:t>
      </w:r>
    </w:p>
    <w:p>
      <w:pPr>
        <w:pStyle w:val="BodyText"/>
      </w:pPr>
      <w:r>
        <w:t xml:space="preserve">Beyond the fabric and compute silicon, tb_sodimm_ctrl.v verifies the banked memory controller described in Section</w:t>
      </w:r>
      <w:r>
        <w:t xml:space="preserve"> </w:t>
      </w:r>
      <w:hyperlink w:anchor="sec:2.16">
        <w:r>
          <w:rPr>
            <w:rStyle w:val="Hyperlink"/>
          </w:rPr>
          <w:t xml:space="preserve">2.16</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56"/>
    <w:bookmarkStart w:id="57"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buses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512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Each 192-bit interface is four 48-bit channel groups, i.e. eight 24-bit LPDDR6 channels of two 12-bit sub-channels each—sixteen independent sub-channels on one module. The reference node pairs two modules, so its controller commands thirty-two independent sub-channels across a 384-bit aggregate. Each sub-channel owns its own bank array, command path, and strobes, so the controller can keep up to thirty-two rows open simultaneously and interleave transfers across them. This independence is the entire trick: with thirty-two sub-channels in flight, the controller hides the two inherently serial DRAM operations—row activation and precharge—behind transfers on the others,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57"/>
    <w:bookmarkStart w:id="59" w:name="sec:2.17"/>
    <w:p>
      <w:pPr>
        <w:pStyle w:val="Heading2"/>
      </w:pPr>
      <w:r>
        <w:t xml:space="preserve">2.17 The router bridge: a CPU-less chip with a host link</w:t>
      </w:r>
    </w:p>
    <w:p>
      <w:pPr>
        <w:pStyle w:val="FirstParagraph"/>
      </w:pPr>
      <w:r>
        <w:t xml:space="preserve">The router bridge described in Section</w:t>
      </w:r>
      <w:r>
        <w:t xml:space="preserve"> </w:t>
      </w:r>
      <w:hyperlink w:anchor="sec:2.5">
        <w:r>
          <w:rPr>
            <w:rStyle w:val="Hyperlink"/>
          </w:rPr>
          <w:t xml:space="preserve">2.5</w:t>
        </w:r>
      </w:hyperlink>
      <w:r>
        <w:t xml:space="preserve"> </w:t>
      </w:r>
      <w:r>
        <w:t xml:space="preserve">has no processor of its own. The chip is a bridge between the host and the fabric: it performs Power-On Self-Test and topology discovery, accepts the host’s routing tables, weight blobs, and dispatch commands over a host link, evaluates the coordinate mapping for dynamic MoE expert routing, and injects every JIT-dispatched token into the fabric. All sequencing—the five boot phases of Section</w:t>
      </w:r>
      <w:r>
        <w:t xml:space="preserve"> </w:t>
      </w:r>
      <w:hyperlink w:anchor="sec:2.5">
        <w:r>
          <w:rPr>
            <w:rStyle w:val="Hyperlink"/>
          </w:rPr>
          <w:t xml:space="preserve">2.5</w:t>
        </w:r>
      </w:hyperlink>
      <w:r>
        <w:t xml:space="preserve">, the dispatch loop, the KV-cache policy—lives in the host’s firmware, which the repository ships in two forms: a Go reference model (the co-simulation’s golden implementation) and a C port with static allocation only, no</w:t>
      </w:r>
      <w:r>
        <w:t xml:space="preserve"> </w:t>
      </w:r>
      <w:r>
        <w:rPr>
          <w:rStyle w:val="VerbatimChar"/>
        </w:rPr>
        <w:t xml:space="preserve">malloc</w:t>
      </w:r>
      <w:r>
        <w:t xml:space="preserve">, and no operating-system dependency, so it runs on a Raspberry Pi, on a microcontroller, or on a workstation without change.</w:t>
      </w:r>
    </w:p>
    <w:p>
      <w:pPr>
        <w:pStyle w:val="BodyText"/>
      </w:pPr>
      <w:r>
        <w:t xml:space="preserve">The bridge is the manager for the chassis as a whole, but not necessarily for each gating ASIC: the routing engines on the node boards can be managed locally instead (Section</w:t>
      </w:r>
      <w:r>
        <w:t xml:space="preserve"> </w:t>
      </w:r>
      <w:hyperlink w:anchor="sec:2.17.1">
        <w:r>
          <w:rPr>
            <w:rStyle w:val="Hyperlink"/>
          </w:rPr>
          <w:t xml:space="preserve">2.17.1</w:t>
        </w:r>
      </w:hyperlink>
      <w:r>
        <w:t xml:space="preserve">).</w:t>
      </w:r>
    </w:p>
    <w:p>
      <w:pPr>
        <w:pStyle w:val="BodyText"/>
      </w:pPr>
      <w:r>
        <w:t xml:space="preserve">This placement is a deliberate consequence of where the work actually is. The bridge’s data path is fixed-function and needs no programmability: the flit builder and the CRC-16/CCITT-FALSE are hardware, and the host writes their operands through a small register window. What the bridge does need is sequencing, and sequencing is exactly what a host already has. Keeping the processor off the bridge therefore removes a whole class of silicon—the boot ROM, the timer, the console, the interrupt controller, and the memory-management assumptions an OS would impose—without removing any function the fabric needs, and it makes the bridge attachable to whatever the deployment already has: a Raspberry Pi over SPI, or any third-party microcontroller over a byte-level host link with the same register and framing semantics.</w:t>
      </w:r>
    </w:p>
    <w:p>
      <w:pPr>
        <w:pStyle w:val="BodyText"/>
      </w:pPr>
      <w:r>
        <w:t xml:space="preserve">The host link is deliberately the simplest thing that can carry the job. The bridge exposes a 32-bit register window and a byte-stream flit path; a host writes the routing tables and the weight blobs, triggers an injection, and reads back the status counters and the extracted result bytes. The repository’s SPI adapter (pi_bridge.v) is one instantiation of that link for a Raspberry Pi, and the C port of the firmware is the host-side counterpart. The protocol is a sequence of register writes and a framed byte stream—no descriptor rings, no interrupts, no cache coherency, and nothing that would need an OS to drive it.</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host, not on any node PE. The host compiles R/Haskell/HLSL source to typed IR (the existing CompileR/CompileHaskell/CompileHLSL pipeline), and the host’s firmware schedules the resulting program over the host link. This placement follows from three constraints. First, the compiler’s IR lowering stage needs visibility into the full chassis topology—which nodes hold which compute units, which routing patterns connect them—and only the host-side compiler has it. Second, the lowering is a compiler, and compilers run where the source language’s toolchain runs. Third, keeping the transpiler off the bridge means the bridge’s silicon stays a fixed function: adding a hosted-language runtime would make the bridge a general-purpose processor again, which is precisely what this design removes.</w:t>
      </w:r>
    </w:p>
    <w:p>
      <w:pPr>
        <w:pStyle w:val="BodyText"/>
      </w:pPr>
      <w:r>
        <w:t xml:space="preserve">The register window is small and flat: the flit-builder command registers (destination, length, payload byte, trigger), the status and counter registers, the result byte, and a 64 KB staging SRAM. The host copies weight bytes through the window; the behavioral LPCAMM2/LPDDR6 module model (lpddr6_camm.v) is exercised by the node-local testbenches, and a DMA engine onto it is not yet part of the bridge.</w:t>
      </w:r>
    </w:p>
    <w:p>
      <w:pPr>
        <w:pStyle w:val="BodyText"/>
      </w:pPr>
      <w:r>
        <w:t xml:space="preserve">The design is verified by a self-checking testbench (tb_pnm_host_bridge.v): the testbench plays the host, writes the routing and payload registers, and checks that the chip emits a byte-exact wormhole flit—header, payload, CRC-16 over the protected body, and SOP/EOP framing—and that the result path and the dispatch counters read back correctly. The host link itself is verified by a second testbench (tb_host_bmc.v) that drives the same bridge from a Raspberry Pi model over the SPI adapter, through the two-port arbiter (pnm_arb), and checks that the register writes land and the responses return.</w:t>
      </w:r>
    </w:p>
    <w:bookmarkStart w:id="58" w:name="sec:2.17.1"/>
    <w:p>
      <w:pPr>
        <w:pStyle w:val="Heading3"/>
      </w:pPr>
      <w:r>
        <w:t xml:space="preserve">2.17.1 Two managers for the gating ASIC</w:t>
      </w:r>
    </w:p>
    <w:p>
      <w:pPr>
        <w:pStyle w:val="FirstParagraph"/>
      </w:pPr>
      <w:r>
        <w:t xml:space="preserve">The gating ASIC is a per-node device: it holds the router weights and produces the expert decision for each token that lands on its node. Who manages it is a board-level choice, and the silicon supports both because the decision path and the management path are separate.</w:t>
      </w:r>
    </w:p>
    <w:p>
      <w:pPr>
        <w:pStyle w:val="BodyText"/>
      </w:pPr>
      <w:r>
        <w:t xml:space="preserve">In mode A an embedded management node sits on the node board: an MCU or a Raspberry Pi Compute Module on a mezzanine header beside the gating ASIC. It drives the gating ASIC’s register port directly, and it is also a master of the node’s NoB, so it can reach the memory behind the node. It therefore programs the gating weights once during machine setup, then reads each token’s hidden state out of local DRAM, presents it to the gating ASIC, and takes the decision locally. The per-token routing decision never leaves the board: it costs a local register write, a local memory read, and a local register read, and the token’s data path is untouched.</w:t>
      </w:r>
    </w:p>
    <w:p>
      <w:pPr>
        <w:pStyle w:val="BodyText"/>
      </w:pPr>
      <w:r>
        <w:t xml:space="preserve">In mode B the host owns the whole machine. The host’s gating programming is streamed over the fabric to the gating ASIC, whose fabric-side receiver decodes it into the same register map the embedded node uses. This is the mode the host-driven bridge of Section</w:t>
      </w:r>
      <w:r>
        <w:t xml:space="preserve"> </w:t>
      </w:r>
      <w:hyperlink w:anchor="sec:2.17">
        <w:r>
          <w:rPr>
            <w:rStyle w:val="Hyperlink"/>
          </w:rPr>
          <w:t xml:space="preserve">2.17</w:t>
        </w:r>
      </w:hyperlink>
      <w:r>
        <w:t xml:space="preserve"> </w:t>
      </w:r>
      <w:r>
        <w:t xml:space="preserve">is built for, and it is the flexible one: the host can reprogram the router of any node at any time, and the same host firmware drives a Pi, a microcontroller, or a workstation. The shipped receiver is write-only: the programming path is complete, and the fabric-side read-back of the decision is the remaining piece of work, so a mode-B manager today reads the decision from the chip’s local output wires rather than over the fabric.</w:t>
      </w:r>
    </w:p>
    <w:p>
      <w:pPr>
        <w:pStyle w:val="BodyText"/>
      </w:pPr>
      <w:r>
        <w:t xml:space="preserve">The two modes are the same die. A strapping pin on the node board selects the manager, and the register map, the weight format, the top-</w:t>
      </w:r>
      <m:oMath>
        <m:r>
          <m:t>k</m:t>
        </m:r>
      </m:oMath>
      <w:r>
        <w:t xml:space="preserve"> </w:t>
      </w:r>
      <w:r>
        <w:t xml:space="preserve">selection, and the decision values are identical either way; a self-checking testbench (tb_gating_modes.v) programs the same weights and the same hidden state through each path and requires the same decision.</w:t>
      </w:r>
    </w:p>
    <w:p>
      <w:pPr>
        <w:pStyle w:val="BodyText"/>
      </w:pPr>
      <w:r>
        <w:t xml:space="preserve">The difference is in what crosses the fabric. In mode A the gating weights never touch it: the management node loads them into the ASIC once, locally, and each token’s decision is a local register read. In mode B the host must push the 0.7 MB of weights across once per layer at setup and, thereafter, push each token’s 5.6 KB hidden vector in per layer, with the decision returned to the host. Against the roughly 2.2 MB a token’s own dispatches generate (Section</w:t>
      </w:r>
      <w:r>
        <w:t xml:space="preserve"> </w:t>
      </w:r>
      <w:hyperlink w:anchor="sec:2.1">
        <w:r>
          <w:rPr>
            <w:rStyle w:val="Hyperlink"/>
          </w:rPr>
          <w:t xml:space="preserve">2.1</w:t>
        </w:r>
      </w:hyperlink>
      <w:r>
        <w:t xml:space="preserve">), that per-token management traffic is under ten percent: the honest case for mode A is architectural rather than bandwidth-critical—the decision is made and acted on where the token already is, so it never becomes fabric traffic at all, and the node does not depend on the host to route it.</w:t>
      </w:r>
    </w:p>
    <w:bookmarkEnd w:id="58"/>
    <w:bookmarkEnd w:id="59"/>
    <w:bookmarkStart w:id="60"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escapes to the MAC ASIC PHY (two</w:t>
      </w:r>
      <w:r>
        <w:t xml:space="preserve"> </w:t>
      </w:r>
      <m:oMath>
        <m:r>
          <m:rPr>
            <m:sty m:val="p"/>
          </m:rPr>
          <m:t>≈</m:t>
        </m:r>
      </m:oMath>
      <w:r>
        <w:t xml:space="preserve">20 mm runs, 192-bit each).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60"/>
    <w:bookmarkStart w:id="61"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61"/>
    <w:bookmarkStart w:id="62" w:name="sec:2.20"/>
    <w:p>
      <w:pPr>
        <w:pStyle w:val="Heading2"/>
      </w:pPr>
      <w:r>
        <w:t xml:space="preserve">2.20 The compute node and the gating ASIC</w:t>
      </w:r>
    </w:p>
    <w:p>
      <w:pPr>
        <w:pStyle w:val="FirstParagraph"/>
      </w:pPr>
      <w:r>
        <w:t xml:space="preserve">The PE interface of Section</w:t>
      </w:r>
      <w:r>
        <w:t xml:space="preserve"> </w:t>
      </w:r>
      <w:hyperlink w:anchor="sec:2.9">
        <w:r>
          <w:rPr>
            <w:rStyle w:val="Hyperlink"/>
          </w:rPr>
          <w:t xml:space="preserve">2.9</w:t>
        </w:r>
      </w:hyperlink>
      <w:r>
        <w:t xml:space="preserve"> </w:t>
      </w:r>
      <w:r>
        <w:t xml:space="preserve">is a contract, and the repository instantiates it twice: a transport stub whose trivial kernel keeps the CRC cross-check independent of the arithmetic, and a real compute datapath used for the numerical claims. The real node (HDL/core/node.v) is a MAC ASIC that runs one Mixture-of-Experts expert pass end to end on the same BF16 fused-multiply-add datapath as the router—gate and up projections over the hidden state, a gated linear unit act = gelu_tanh(gate)</w:t>
      </w:r>
      <m:oMath>
        <m:r>
          <m:rPr>
            <m:sty m:val="p"/>
          </m:rPr>
          <m:t>⋅</m:t>
        </m:r>
      </m:oMath>
      <w:r>
        <w:t xml:space="preserve">up, and the down projection—accumulating with a single rounding per multiply-accumulate, the same oracle the router logits use. The node is not specialised to one numeric format: a CU_TYPE parameter selects the embedded accumulate engine (BF16/FP16/FP32/FP64 FMA, or INT8/INT4/FP4 MAC with a block-scale input for MXFP4) behind one shared engine interface and one control finite state machine, so a single node source builds as any of the compute units of Table 5 and the numeric paths cannot drift apart in their control logic. The node reads its hidden state from the per-node multi-channel memory subsystem (HDL/core/node_mem.v): the linear word space is word-interleaved across CHANNELS banks, so a request for</w:t>
      </w:r>
      <w:r>
        <w:t xml:space="preserve"> </w:t>
      </w:r>
      <m:oMath>
        <m:r>
          <m:t>N</m:t>
        </m:r>
      </m:oMath>
      <w:r>
        <w:t xml:space="preserve"> </w:t>
      </w:r>
      <w:r>
        <w:t xml:space="preserve">words returns</w:t>
      </w:r>
      <w:r>
        <w:t xml:space="preserve"> </w:t>
      </w:r>
      <m:oMath>
        <m:r>
          <m:t>N</m:t>
        </m:r>
        <m:r>
          <m:rPr>
            <m:sty m:val="p"/>
          </m:rPr>
          <m:t>/</m:t>
        </m:r>
        <m:r>
          <m:rPr>
            <m:sty m:val="p"/>
          </m:rPr>
          <m:t>C</m:t>
        </m:r>
        <m:r>
          <m:rPr>
            <m:sty m:val="p"/>
          </m:rPr>
          <m:t>H</m:t>
        </m:r>
        <m:r>
          <m:rPr>
            <m:sty m:val="p"/>
          </m:rPr>
          <m:t>A</m:t>
        </m:r>
        <m:r>
          <m:rPr>
            <m:sty m:val="p"/>
          </m:rPr>
          <m:t>N</m:t>
        </m:r>
        <m:r>
          <m:rPr>
            <m:sty m:val="p"/>
          </m:rPr>
          <m:t>N</m:t>
        </m:r>
        <m:r>
          <m:rPr>
            <m:sty m:val="p"/>
          </m:rPr>
          <m:t>E</m:t>
        </m:r>
        <m:r>
          <m:rPr>
            <m:sty m:val="p"/>
          </m:rPr>
          <m:t>L</m:t>
        </m:r>
        <m:r>
          <m:rPr>
            <m:sty m:val="p"/>
          </m:rPr>
          <m:t>S</m:t>
        </m:r>
      </m:oMath>
      <w:r>
        <w:t xml:space="preserve"> </w:t>
      </w:r>
      <w:r>
        <w:t xml:space="preserve">in-order beats of CHANNELS words each after a fixed CAS latency. That interleave is the RTL mechanism behind the per-node bandwidth scaling of Section</w:t>
      </w:r>
      <w:r>
        <w:t xml:space="preserve"> </w:t>
      </w:r>
      <w:hyperlink w:anchor="sec:2.16">
        <w:r>
          <w:rPr>
            <w:rStyle w:val="Hyperlink"/>
          </w:rPr>
          <w:t xml:space="preserve">2.16</w:t>
        </w:r>
      </w:hyperlink>
      <w:r>
        <w:t xml:space="preserve"> </w:t>
      </w:r>
      <w:r>
        <w:t xml:space="preserve">and the dual-module 384-bit packaging of Section</w:t>
      </w:r>
      <w:r>
        <w:t xml:space="preserve"> </w:t>
      </w:r>
      <w:hyperlink w:anchor="sec:2.4">
        <w:r>
          <w:rPr>
            <w:rStyle w:val="Hyperlink"/>
          </w:rPr>
          <w:t xml:space="preserve">2.4</w:t>
        </w:r>
      </w:hyperlink>
      <w:r>
        <w:t xml:space="preserve"> </w:t>
      </w:r>
      <w:r>
        <w:t xml:space="preserve">(CHANNELS</w:t>
      </w:r>
      <m:oMath>
        <m:r>
          <m:rPr>
            <m:sty m:val="p"/>
          </m:rPr>
          <m:t>=</m:t>
        </m:r>
      </m:oMath>
      <w:r>
        <w:t xml:space="preserve">2 for the reference node), and the expert result is invariant under the channel count—only the ingest width changes.</w:t>
      </w:r>
    </w:p>
    <w:p>
      <w:pPr>
        <w:pStyle w:val="BodyText"/>
      </w:pPr>
      <w:r>
        <w:t xml:space="preserve">The gating network runs on its own ASIC beside the node. moe_gating.v computes the router logits (hidden</w:t>
      </w:r>
      <w:r>
        <w:t xml:space="preserve"> </w:t>
      </w:r>
      <m:oMath>
        <m:r>
          <m:rPr>
            <m:sty m:val="p"/>
          </m:rPr>
          <m:t>×</m:t>
        </m:r>
      </m:oMath>
      <w:r>
        <w:t xml:space="preserve"> </w:t>
      </w:r>
      <w:r>
        <w:t xml:space="preserve">router weights, again with fused-FMA accumulation) and selects the top-K experts; gating_asic.v wraps it in a register bus that exposes the weight- and hidden-SRAM write ports, the start/done handshake, a rank window that returns every top-</w:t>
      </w:r>
      <m:oMath>
        <m:r>
          <m:t>k</m:t>
        </m:r>
      </m:oMath>
      <w:r>
        <w:t xml:space="preserve"> </w:t>
      </w:r>
      <w:r>
        <w:t xml:space="preserve">id and logit, and a logit-peek window that returns any of the 128 expert logits, so the manager reads the full routing decision back over the register interface rather than re-deriving it in software. That bus has two masters (Section</w:t>
      </w:r>
      <w:r>
        <w:t xml:space="preserve"> </w:t>
      </w:r>
      <w:hyperlink w:anchor="sec:2.17.1">
        <w:r>
          <w:rPr>
            <w:rStyle w:val="Hyperlink"/>
          </w:rPr>
          <w:t xml:space="preserve">2.17.1</w:t>
        </w:r>
      </w:hyperlink>
      <w:r>
        <w:t xml:space="preserve">): the embedded management node on the node board drives it locally, or the host’s programming arrives over the fabric and is decoded into the same register map, and a strapping pin on the board chooses between them.</w:t>
      </w:r>
    </w:p>
    <w:p>
      <w:pPr>
        <w:pStyle w:val="BodyText"/>
      </w:pPr>
      <w:r>
        <w:t xml:space="preserve">These datapaths are validated bit-exact, not merely sketched. A complete decoder block (HDL/core/gemma_decoder_block.v)—input and attention normalisation, Q/K/V projections with per-head QK and value norms, rotary position embedding, causal attention over a KV cache, the output projection with its residual, the dense feed-forward pass, and the top-2 MoE branch with router softmax and per-expert scaling—is instantiated from a real layer-0 slice of the Gemma-4-26B-A4B checkpoint and reproduces the reference BF16 forward pass word for word in gate-level simulation. At the system level the three stages compose into one datapath: the gating ASIC’s selected expert is dispatched as a single fabric flit (delivered byte-exact through the node-network co-simulation of Section</w:t>
      </w:r>
      <w:r>
        <w:t xml:space="preserve"> </w:t>
      </w:r>
      <w:hyperlink w:anchor="sec:2.15">
        <w:r>
          <w:rPr>
            <w:rStyle w:val="Hyperlink"/>
          </w:rPr>
          <w:t xml:space="preserve">2.15</w:t>
        </w:r>
      </w:hyperlink>
      <w:r>
        <w:t xml:space="preserve">), the destination compute node runs that expert on its selectable ASIC, and the node’s output matches an independent software BF16 twin on every word. The composition is chained rather than sampled: over model layers 0, 7, and 14, the router input of each layer is derived from the residual slice left by the previous layer’s node, so the gating decision, the fabric dispatch, and the expert recomputation form a single data dependency across layers, and each layer’s node output is again bit-exact against the software twin (the chain runs at a reduced 256-dimension slice, so the router sees the matching 256-column weight slice, to stay inside a cycle budget). Closing the loop, feeding the RTL router’s logits into the engine in place of the software matvec reproduces the software-only inference token for token—so the hardware gating decision changes no output. All of these checks run on real checkpoint weights and are part of the co-simulation suite of Section</w:t>
      </w:r>
      <w:r>
        <w:t xml:space="preserve"> </w:t>
      </w:r>
      <w:hyperlink w:anchor="sec:3.5">
        <w:r>
          <w:rPr>
            <w:rStyle w:val="Hyperlink"/>
          </w:rPr>
          <w:t xml:space="preserve">3.5</w:t>
        </w:r>
      </w:hyperlink>
      <w:r>
        <w:t xml:space="preserve">, which closes the gap between the transport properties the paper machine-checks and the computation those transports carry.</w:t>
      </w:r>
    </w:p>
    <w:bookmarkEnd w:id="62"/>
    <w:bookmarkEnd w:id="63"/>
    <w:bookmarkStart w:id="82"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66" w:name="sec:3.1"/>
    <w:p>
      <w:pPr>
        <w:pStyle w:val="Heading2"/>
      </w:pPr>
      <w:r>
        <w:t xml:space="preserve">3.1 Reference chassis</w:t>
      </w:r>
    </w:p>
    <w:p>
      <w:pPr>
        <w:pStyle w:val="FirstParagraph"/>
      </w:pPr>
      <w:r>
        <w:t xml:space="preserve">Table 2 summarizes the reference configuration: 512 nodes, 64 TB aggregate capacity, approximately 262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bookmarkStart w:id="64" w:name="tab:2"/>
    <w:p>
      <w:pPr>
        <w:pStyle w:val="TableCaption"/>
      </w:pPr>
      <w:r>
        <w:t xml:space="preserve">Reference chassis configuration (first-order estimates).</w:t>
      </w:r>
    </w:p>
    <w:tbl>
      <w:tblPr>
        <w:tblStyle w:val="Table"/>
        <w:tblW w:type="auto" w:w="0"/>
        <w:tblLook w:firstRow="1" w:lastRow="0" w:firstColumn="0" w:lastColumn="0" w:noHBand="0" w:noVBand="0" w:val="0020"/>
        <w:tblCaption w:val="Reference chassis configuration (first-order estimates)."/>
      </w:tblPr>
      <w:tblGrid>
        <w:gridCol w:w="3960"/>
        <w:gridCol w:w="3960"/>
      </w:tblGrid>
      <w:tr>
        <w:trPr>
          <w:tblHeader w:val="on"/>
        </w:trPr>
        <w:tc>
          <w:tcPr/>
          <w:p>
            <w:pPr>
              <w:pStyle w:val="Compact"/>
              <w:jc w:val="left"/>
            </w:pPr>
            <w:r>
              <w:t xml:space="preserve">Quantity</w:t>
            </w:r>
          </w:p>
        </w:tc>
        <w:tc>
          <w:tcPr/>
          <w:p>
            <w:pPr>
              <w:pStyle w:val="Compact"/>
              <w:jc w:val="left"/>
            </w:pPr>
            <w:r>
              <w:t xml:space="preserve">Reference value</w:t>
            </w:r>
          </w:p>
        </w:tc>
      </w:tr>
      <w:tr>
        <w:tc>
          <w:tcPr/>
          <w:p>
            <w:pPr>
              <w:pStyle w:val="Compact"/>
              <w:jc w:val="left"/>
            </w:pPr>
            <w:r>
              <w:t xml:space="preserve">Node</w:t>
            </w:r>
          </w:p>
        </w:tc>
        <w:tc>
          <w:tcPr/>
          <w:p>
            <w:pPr>
              <w:pStyle w:val="Compact"/>
              <w:jc w:val="left"/>
            </w:pPr>
            <m:oMath>
              <m:r>
                <m:rPr>
                  <m:sty m:val="p"/>
                </m:rPr>
                <m:t>×</m:t>
              </m:r>
            </m:oMath>
            <w:r>
              <w:t xml:space="preserve"> </w:t>
            </w:r>
            <w:r>
              <w:t xml:space="preserve">64 GB LPDDR6 CAMM2 (128 GB, 384-bit)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Node memory bandwidth</w:t>
            </w:r>
          </w:p>
        </w:tc>
        <w:tc>
          <w:tcPr/>
          <w:p>
            <w:pPr>
              <w:pStyle w:val="Compact"/>
              <w:jc w:val="left"/>
            </w:pPr>
            <m:oMath>
              <m:r>
                <m:rPr>
                  <m:sty m:val="p"/>
                </m:rPr>
                <m:t>≈</m:t>
              </m:r>
            </m:oMath>
            <w:r>
              <w:t xml:space="preserve">512 GB/s (2</w:t>
            </w:r>
            <w:r>
              <w:t xml:space="preserve"> </w:t>
            </w:r>
            <m:oMath>
              <m:r>
                <m:rPr>
                  <m:sty m:val="p"/>
                </m:rPr>
                <m:t>×</m:t>
              </m:r>
            </m:oMath>
            <w:r>
              <w:t xml:space="preserve"> </w:t>
            </w:r>
            <w:r>
              <w:t xml:space="preserve">192-bit LPDDR6 CAMM2 @ 10.7 Gb/s/pin, 384-bit)</w:t>
            </w:r>
          </w:p>
        </w:tc>
      </w:tr>
      <w:tr>
        <w:tc>
          <w:tcPr/>
          <w:p>
            <w:pPr>
              <w:pStyle w:val="Compact"/>
              <w:jc w:val="left"/>
            </w:pPr>
            <w:r>
              <w:t xml:space="preserve">DDR5 baseline (contrast)</w:t>
            </w:r>
          </w:p>
        </w:tc>
        <w:tc>
          <w:tcPr/>
          <w:p>
            <w:pPr>
              <w:pStyle w:val="Compact"/>
              <w:jc w:val="left"/>
            </w:pPr>
            <w:r>
              <w:t xml:space="preserve">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p>
        </w:tc>
      </w:tr>
      <w:tr>
        <w:tc>
          <w:tcPr/>
          <w:p>
            <w:pPr>
              <w:pStyle w:val="Compact"/>
              <w:jc w:val="left"/>
            </w:pPr>
            <w:r>
              <w:t xml:space="preserve">Node fabric link</w:t>
            </w:r>
          </w:p>
        </w:tc>
        <w:tc>
          <w:tcPr/>
          <w:p>
            <w:pPr>
              <w:pStyle w:val="Compact"/>
              <w:jc w:val="left"/>
            </w:pPr>
            <m:oMath>
              <m:r>
                <m:rPr>
                  <m:sty m:val="p"/>
                </m:rPr>
                <m:t>≈</m:t>
              </m:r>
            </m:oMath>
            <w:r>
              <w:t xml:space="preserve">16 GB/s (128-bit source-synchronous @ 1 GHz)</w:t>
            </w:r>
          </w:p>
        </w:tc>
      </w:tr>
      <w:tr>
        <w:tc>
          <w:tcPr/>
          <w:p>
            <w:pPr>
              <w:pStyle w:val="Compact"/>
              <w:jc w:val="left"/>
            </w:pPr>
            <w:r>
              <w:t xml:space="preserve">Node power</w:t>
            </w:r>
          </w:p>
        </w:tc>
        <w:tc>
          <w:tcPr/>
          <w:p>
            <w:pPr>
              <w:pStyle w:val="Compact"/>
              <w:jc w:val="left"/>
            </w:pPr>
            <m:oMath>
              <m:r>
                <m:rPr>
                  <m:sty m:val="p"/>
                </m:rPr>
                <m:t>≈</m:t>
              </m:r>
            </m:oMath>
            <w:r>
              <w:t xml:space="preserve">15 W</w:t>
            </w:r>
          </w:p>
        </w:tc>
      </w:tr>
      <w:tr>
        <w:tc>
          <w:tcPr/>
          <w:p>
            <w:pPr>
              <w:pStyle w:val="Compact"/>
              <w:jc w:val="left"/>
            </w:pPr>
            <w:r>
              <w:t xml:space="preserve">Board (1 layer)</w:t>
            </w:r>
          </w:p>
        </w:tc>
        <w:tc>
          <w:tcPr/>
          <w:p>
            <w:pPr>
              <w:pStyle w:val="Compact"/>
              <w:jc w:val="left"/>
            </w:pP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p>
        </w:tc>
      </w:tr>
      <w:tr>
        <w:tc>
          <w:tcPr/>
          <w:p>
            <w:pPr>
              <w:pStyle w:val="Compact"/>
              <w:jc w:val="left"/>
            </w:pPr>
            <w:r>
              <w:t xml:space="preserve">Chassis (8 layers)</w:t>
            </w:r>
          </w:p>
        </w:tc>
        <w:tc>
          <w:tcPr/>
          <w:p>
            <w:pPr>
              <w:pStyle w:val="Compact"/>
              <w:jc w:val="left"/>
            </w:pPr>
            <w:r>
              <w:t xml:space="preserve">nodes; 64 TB;</w:t>
            </w:r>
            <w:r>
              <w:t xml:space="preserve"> </w:t>
            </w:r>
            <m:oMath>
              <m:r>
                <m:rPr>
                  <m:sty m:val="p"/>
                </m:rPr>
                <m:t>≈</m:t>
              </m:r>
            </m:oMath>
            <w:r>
              <w:t xml:space="preserve">262 TB/s;</w:t>
            </w:r>
            <w:r>
              <w:t xml:space="preserve"> </w:t>
            </w:r>
            <m:oMath>
              <m:r>
                <m:rPr>
                  <m:sty m:val="p"/>
                </m:rPr>
                <m:t>≈</m:t>
              </m:r>
            </m:oMath>
            <w:r>
              <w:t xml:space="preserve">197 TFLOPS FP64;</w:t>
            </w:r>
            <w:r>
              <w:t xml:space="preserve"> </w:t>
            </w:r>
            <m:oMath>
              <m:r>
                <m:rPr>
                  <m:sty m:val="p"/>
                </m:rPr>
                <m:t>≈</m:t>
              </m:r>
            </m:oMath>
            <w:r>
              <w:t xml:space="preserve">8–10 kW</w:t>
            </w:r>
          </w:p>
        </w:tc>
      </w:tr>
      <w:tr>
        <w:tc>
          <w:tcPr/>
          <w:p>
            <w:pPr>
              <w:pStyle w:val="Compact"/>
              <w:jc w:val="left"/>
            </w:pPr>
            <w:r>
              <w:t xml:space="preserve">Spine</w:t>
            </w:r>
          </w:p>
        </w:tc>
        <w:tc>
          <w:tcPr/>
          <w:p>
            <w:pPr>
              <w:pStyle w:val="Compact"/>
              <w:jc w:val="left"/>
            </w:pPr>
            <w:r>
              <w:t xml:space="preserve">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tc>
      </w:tr>
    </w:tbl>
    <w:bookmarkEnd w:id="64"/>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65"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node (the per-layer repeater bitmaps ride the same table),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65"/>
    <w:bookmarkEnd w:id="66"/>
    <w:bookmarkStart w:id="71"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 (Figure </w:t>
      </w:r>
      <w:hyperlink w:anchor="fig:roofline">
        <w:r>
          <w:rPr>
            <w:rStyle w:val="Hyperlink"/>
          </w:rPr>
          <w:t xml:space="preserve">4</w:t>
        </w:r>
      </w:hyperlink>
      <w:r>
        <w:t xml:space="preserve">):</w:t>
      </w:r>
    </w:p>
    <w:p>
      <w:pPr>
        <w:pStyle w:val="BodyText"/>
      </w:pPr>
      <m:oMathPara>
        <m:oMathParaPr>
          <m:jc m:val="center"/>
        </m:oMathParaPr>
        <m:oMath>
          <m:eqArr>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t>&amp;</m:t>
              </m:r>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t>&amp;</m:t>
              </m:r>
              <m:r>
                <m:rPr>
                  <m:sty m:val="p"/>
                </m:rPr>
                <m:t>≈</m:t>
              </m:r>
              <m:r>
                <m:t>3.0</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t>&amp;</m:t>
              </m:r>
              <m:r>
                <m:rPr>
                  <m:sty m:val="p"/>
                </m:rPr>
                <m:t>≈</m:t>
              </m:r>
              <m:r>
                <m:t>6.0</m:t>
              </m:r>
              <m:r>
                <m:rPr>
                  <m:sty m:val="p"/>
                </m:rPr>
                <m:t>.</m:t>
              </m:r>
            </m:e>
          </m:eqAr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Start w:id="70" w:name="fig:roofline"/>
    <w:p>
      <w:pPr>
        <w:pStyle w:val="CaptionedFigure"/>
      </w:pPr>
      <w:r>
        <w:drawing>
          <wp:inline>
            <wp:extent cx="5270436" cy="3092418"/>
            <wp:effectExtent b="0" l="0" r="0" t="0"/>
            <wp:docPr descr="" title="" id="68" name="Picture"/>
            <a:graphic>
              <a:graphicData uri="http://schemas.openxmlformats.org/drawingml/2006/picture">
                <pic:pic>
                  <pic:nvPicPr>
                    <pic:cNvPr descr="figures/fig_roofline.png" id="69" name="Picture"/>
                    <pic:cNvPicPr>
                      <a:picLocks noChangeArrowheads="1" noChangeAspect="1"/>
                    </pic:cNvPicPr>
                  </pic:nvPicPr>
                  <pic:blipFill>
                    <a:blip r:embed="rId67"/>
                    <a:stretch>
                      <a:fillRect/>
                    </a:stretch>
                  </pic:blipFill>
                  <pic:spPr bwMode="auto">
                    <a:xfrm>
                      <a:off x="0" y="0"/>
                      <a:ext cx="5270436" cy="3092418"/>
                    </a:xfrm>
                    <a:prstGeom prst="rect">
                      <a:avLst/>
                    </a:prstGeom>
                    <a:noFill/>
                    <a:ln w="9525">
                      <a:noFill/>
                      <a:headEnd/>
                      <a:tailEnd/>
                    </a:ln>
                  </pic:spPr>
                </pic:pic>
              </a:graphicData>
            </a:graphic>
          </wp:inline>
        </w:drawing>
      </w:r>
    </w:p>
    <w:p>
      <w:pPr>
        <w:pStyle w:val="ImageCaption"/>
      </w:pPr>
      <w:r>
        <w:t xml:space="preserve">Roofline for the reference node. Both flagship workload intensities fall below all three machine-balance ridges (FP64 1.5, FP16 3.0, INT8 6.0 FLOP/byte), so LPDDR6 bandwidth — and even the DDR5 baseline — binds before the MAC array does.</w:t>
      </w:r>
    </w:p>
    <w:bookmarkEnd w:id="70"/>
    <w:bookmarkEnd w:id="71"/>
    <w:bookmarkStart w:id="72"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262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p>
      <w:pPr>
        <w:pStyle w:val="BodyText"/>
      </w:pPr>
      <w:r>
        <w:t xml:space="preserve">The comparison deliberately spans only DRAM- and HBM-resident systems. The SRAM-resident accelerators surveyed in Section</w:t>
      </w:r>
      <w:r>
        <w:t xml:space="preserve"> </w:t>
      </w:r>
      <w:hyperlink w:anchor="sec:1.5">
        <w:r>
          <w:rPr>
            <w:rStyle w:val="Hyperlink"/>
          </w:rPr>
          <w:t xml:space="preserve">1.5</w:t>
        </w:r>
      </w:hyperlink>
      <w:r>
        <w:t xml:space="preserve"> </w:t>
      </w:r>
      <w:r>
        <w:t xml:space="preserve">are capacity-infeasible at 64 TB by construction, and the mask-ROM MSIC reaches similar capacity economics only by freezing the model in silicon—the reprogrammability this design preserves (Section</w:t>
      </w:r>
      <w:r>
        <w:t xml:space="preserve"> </w:t>
      </w:r>
      <w:hyperlink w:anchor="sec:1.5">
        <w:r>
          <w:rPr>
            <w:rStyle w:val="Hyperlink"/>
          </w:rPr>
          <w:t xml:space="preserve">1.5</w:t>
        </w:r>
      </w:hyperlink>
      <w:r>
        <w:t xml:space="preserve">). The strongest outside validation of the capacity-bound decode thesis is commercial: both major GPU vendors have since acquired or licensed an SRAM or mask-ROM inference shop rather than build against the HBM wall directly.</w:t>
      </w:r>
    </w:p>
    <w:bookmarkEnd w:id="72"/>
    <w:bookmarkStart w:id="73"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73"/>
    <w:bookmarkStart w:id="78"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 Figure </w:t>
      </w:r>
      <w:hyperlink w:anchor="fig:latency">
        <w:r>
          <w:rPr>
            <w:rStyle w:val="Hyperlink"/>
          </w:rPr>
          <w:t xml:space="preserve">5</w:t>
        </w:r>
      </w:hyperlink>
      <w:r>
        <w:t xml:space="preserve"> </w:t>
      </w:r>
      <w:r>
        <w:t xml:space="preserve">plots the per-scenario distributions.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Scenario</w:t>
            </w:r>
          </w:p>
        </w:tc>
        <w:tc>
          <w:tcPr/>
          <w:p>
            <w:pPr>
              <w:pStyle w:val="Compact"/>
              <w:jc w:val="left"/>
            </w:pPr>
            <w:r>
              <w:t xml:space="preserve">Routed</w:t>
            </w:r>
          </w:p>
        </w:tc>
        <w:tc>
          <w:tcPr/>
          <w:p>
            <w:pPr>
              <w:pStyle w:val="Compact"/>
              <w:jc w:val="left"/>
            </w:pPr>
            <w:r>
              <w:t xml:space="preserve">Pass-through</w:t>
            </w:r>
          </w:p>
        </w:tc>
        <w:tc>
          <w:tcPr/>
          <w:p>
            <w:pPr>
              <w:pStyle w:val="Compact"/>
              <w:jc w:val="left"/>
            </w:pPr>
            <w:r>
              <w:t xml:space="preserve">Wire bytes</w:t>
            </w:r>
          </w:p>
        </w:tc>
        <w:tc>
          <w:tcPr/>
          <w:p>
            <w:pPr>
              <w:pStyle w:val="Compact"/>
              <w:jc w:val="left"/>
            </w:pPr>
            <w:r>
              <w:t xml:space="preserve">Activations</w:t>
            </w:r>
          </w:p>
        </w:tc>
        <w:tc>
          <w:tcPr/>
          <w:p>
            <w:pPr>
              <w:pStyle w:val="Compact"/>
              <w:jc w:val="left"/>
            </w:pPr>
            <w:r>
              <w:t xml:space="preserve">Corrupt refused</w:t>
            </w:r>
          </w:p>
        </w:tc>
        <w:tc>
          <w:tcPr/>
          <w:p>
            <w:pPr>
              <w:pStyle w:val="Compact"/>
              <w:jc w:val="left"/>
            </w:pPr>
            <w:r>
              <w:t xml:space="preserve">Latency min/mean/max (cycles)</w:t>
            </w:r>
          </w:p>
        </w:tc>
      </w:tr>
      <w:tr>
        <w:tc>
          <w:tcPr/>
          <w:p>
            <w:pPr>
              <w:pStyle w:val="Compact"/>
              <w:jc w:val="left"/>
            </w:pPr>
            <w:r>
              <w:t xml:space="preserve">sweep</w:t>
            </w:r>
          </w:p>
        </w:tc>
        <w:tc>
          <w:tcPr/>
          <w:p>
            <w:pPr>
              <w:pStyle w:val="Compact"/>
            </w:pPr>
          </w:p>
        </w:tc>
        <w:tc>
          <w:tcPr/>
          <w:p>
            <w:pPr>
              <w:pStyle w:val="Compact"/>
            </w:pPr>
          </w:p>
        </w:tc>
        <w:tc>
          <w:tcPr/>
          <w:p>
            <w:pPr>
              <w:pStyle w:val="Compact"/>
              <w:jc w:val="left"/>
            </w:pPr>
            <w:r>
              <w:t xml:space="preserve">,104</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vcsweep</w:t>
            </w:r>
          </w:p>
        </w:tc>
        <w:tc>
          <w:tcPr/>
          <w:p>
            <w:pPr>
              <w:pStyle w:val="Compact"/>
            </w:pPr>
          </w:p>
        </w:tc>
        <w:tc>
          <w:tcPr/>
          <w:p>
            <w:pPr>
              <w:pStyle w:val="Compact"/>
            </w:pPr>
          </w:p>
        </w:tc>
        <w:tc>
          <w:tcPr/>
          <w:p>
            <w:pPr>
              <w:pStyle w:val="Compact"/>
              <w:jc w:val="left"/>
            </w:pPr>
            <w:r>
              <w:t xml:space="preserve">,656</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load</w:t>
            </w:r>
          </w:p>
        </w:tc>
        <w:tc>
          <w:tcPr/>
          <w:p>
            <w:pPr>
              <w:pStyle w:val="Compact"/>
            </w:pPr>
          </w:p>
        </w:tc>
        <w:tc>
          <w:tcPr/>
          <w:p>
            <w:pPr>
              <w:pStyle w:val="Compact"/>
            </w:pPr>
          </w:p>
        </w:tc>
        <w:tc>
          <w:tcPr/>
          <w:p>
            <w:pPr>
              <w:pStyle w:val="Compact"/>
              <w:jc w:val="left"/>
            </w:pPr>
            <w:r>
              <w:t xml:space="preserve">,281</w:t>
            </w:r>
          </w:p>
        </w:tc>
        <w:tc>
          <w:tcPr/>
          <w:p>
            <w:pPr>
              <w:pStyle w:val="Compact"/>
            </w:pPr>
          </w:p>
        </w:tc>
        <w:tc>
          <w:tcPr/>
          <w:p>
            <w:pPr>
              <w:pStyle w:val="Compact"/>
            </w:pPr>
          </w:p>
        </w:tc>
        <w:tc>
          <w:tcPr/>
          <w:p>
            <w:pPr>
              <w:pStyle w:val="Compact"/>
              <w:jc w:val="left"/>
            </w:pPr>
            <w:r>
              <w:t xml:space="preserve">/149/558</w:t>
            </w:r>
          </w:p>
        </w:tc>
      </w:tr>
      <w:tr>
        <w:tc>
          <w:tcPr/>
          <w:p>
            <w:pPr>
              <w:pStyle w:val="Compact"/>
              <w:jc w:val="left"/>
            </w:pPr>
            <w:r>
              <w:t xml:space="preserve">hotspot</w:t>
            </w:r>
          </w:p>
        </w:tc>
        <w:tc>
          <w:tcPr/>
          <w:p>
            <w:pPr>
              <w:pStyle w:val="Compact"/>
            </w:pPr>
          </w:p>
        </w:tc>
        <w:tc>
          <w:tcPr/>
          <w:p>
            <w:pPr>
              <w:pStyle w:val="Compact"/>
            </w:pPr>
          </w:p>
        </w:tc>
        <w:tc>
          <w:tcPr/>
          <w:p>
            <w:pPr>
              <w:pStyle w:val="Compact"/>
              <w:jc w:val="left"/>
            </w:pPr>
            <w:r>
              <w:t xml:space="preserve">,191</w:t>
            </w:r>
          </w:p>
        </w:tc>
        <w:tc>
          <w:tcPr/>
          <w:p>
            <w:pPr>
              <w:pStyle w:val="Compact"/>
            </w:pPr>
          </w:p>
        </w:tc>
        <w:tc>
          <w:tcPr/>
          <w:p>
            <w:pPr>
              <w:pStyle w:val="Compact"/>
            </w:pPr>
          </w:p>
        </w:tc>
        <w:tc>
          <w:tcPr/>
          <w:p>
            <w:pPr>
              <w:pStyle w:val="Compact"/>
              <w:jc w:val="left"/>
            </w:pPr>
            <w:r>
              <w:t xml:space="preserve">/2,888/8,279</w:t>
            </w:r>
          </w:p>
        </w:tc>
      </w:tr>
      <w:tr>
        <w:tc>
          <w:tcPr/>
          <w:p>
            <w:pPr>
              <w:pStyle w:val="Compact"/>
              <w:jc w:val="left"/>
            </w:pPr>
            <w:r>
              <w:t xml:space="preserve">stress</w:t>
            </w:r>
          </w:p>
        </w:tc>
        <w:tc>
          <w:tcPr/>
          <w:p>
            <w:pPr>
              <w:pStyle w:val="Compact"/>
              <w:jc w:val="left"/>
            </w:pPr>
            <w:r>
              <w:t xml:space="preserve">,087</w:t>
            </w:r>
          </w:p>
        </w:tc>
        <w:tc>
          <w:tcPr/>
          <w:p>
            <w:pPr>
              <w:pStyle w:val="Compact"/>
            </w:pPr>
          </w:p>
        </w:tc>
        <w:tc>
          <w:tcPr/>
          <w:p>
            <w:pPr>
              <w:pStyle w:val="Compact"/>
              <w:jc w:val="left"/>
            </w:pPr>
            <w:r>
              <w:t xml:space="preserve">,914</w:t>
            </w:r>
          </w:p>
        </w:tc>
        <w:tc>
          <w:tcPr/>
          <w:p>
            <w:pPr>
              <w:pStyle w:val="Compact"/>
              <w:jc w:val="left"/>
            </w:pPr>
            <w:r>
              <w:t xml:space="preserve">,051</w:t>
            </w:r>
          </w:p>
        </w:tc>
        <w:tc>
          <w:tcPr/>
          <w:p>
            <w:pPr>
              <w:pStyle w:val="Compact"/>
            </w:pPr>
          </w:p>
        </w:tc>
        <w:tc>
          <w:tcPr/>
          <w:p>
            <w:pPr>
              <w:pStyle w:val="Compact"/>
              <w:jc w:val="left"/>
            </w:pPr>
            <w:r>
              <w:t xml:space="preserve">/671/8,279</w:t>
            </w:r>
          </w:p>
        </w:tc>
      </w:tr>
      <w:tr>
        <w:tc>
          <w:tcPr/>
          <w:p>
            <w:pPr>
              <w:pStyle w:val="Compact"/>
              <w:jc w:val="left"/>
            </w:pPr>
            <w:r>
              <w:t xml:space="preserve">replay</w:t>
            </w:r>
          </w:p>
        </w:tc>
        <w:tc>
          <w:tcPr/>
          <w:p>
            <w:pPr>
              <w:pStyle w:val="Compact"/>
            </w:pPr>
          </w:p>
        </w:tc>
        <w:tc>
          <w:tcPr/>
          <w:p>
            <w:pPr>
              <w:pStyle w:val="Compact"/>
            </w:pPr>
          </w:p>
        </w:tc>
        <w:tc>
          <w:tcPr/>
          <w:p>
            <w:pPr>
              <w:pStyle w:val="Compact"/>
              <w:jc w:val="left"/>
            </w:pPr>
            <w:r>
              <w:t xml:space="preserve">,132</w:t>
            </w:r>
          </w:p>
        </w:tc>
        <w:tc>
          <w:tcPr/>
          <w:p>
            <w:pPr>
              <w:pStyle w:val="Compact"/>
            </w:pPr>
          </w:p>
        </w:tc>
        <w:tc>
          <w:tcPr/>
          <w:p>
            <w:pPr>
              <w:pStyle w:val="Compact"/>
            </w:pPr>
          </w:p>
        </w:tc>
        <w:tc>
          <w:tcPr/>
          <w:p>
            <w:pPr>
              <w:pStyle w:val="Compact"/>
              <w:jc w:val="left"/>
            </w:pPr>
            <w:r>
              <w:t xml:space="preserve">/758/8,255</w:t>
            </w:r>
          </w:p>
        </w:tc>
      </w:tr>
    </w:tbl>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bookmarkStart w:id="77" w:name="fig:latency"/>
    <w:p>
      <w:pPr>
        <w:pStyle w:val="CaptionedFigure"/>
      </w:pPr>
      <w:r>
        <w:drawing>
          <wp:inline>
            <wp:extent cx="5178536" cy="2660490"/>
            <wp:effectExtent b="0" l="0" r="0" t="0"/>
            <wp:docPr descr="" title="" id="75" name="Picture"/>
            <a:graphic>
              <a:graphicData uri="http://schemas.openxmlformats.org/drawingml/2006/picture">
                <pic:pic>
                  <pic:nvPicPr>
                    <pic:cNvPr descr="figures/fig_latency.png" id="76" name="Picture"/>
                    <pic:cNvPicPr>
                      <a:picLocks noChangeArrowheads="1" noChangeAspect="1"/>
                    </pic:cNvPicPr>
                  </pic:nvPicPr>
                  <pic:blipFill>
                    <a:blip r:embed="rId74"/>
                    <a:stretch>
                      <a:fillRect/>
                    </a:stretch>
                  </pic:blipFill>
                  <pic:spPr bwMode="auto">
                    <a:xfrm>
                      <a:off x="0" y="0"/>
                      <a:ext cx="5178536" cy="2660490"/>
                    </a:xfrm>
                    <a:prstGeom prst="rect">
                      <a:avLst/>
                    </a:prstGeom>
                    <a:noFill/>
                    <a:ln w="9525">
                      <a:noFill/>
                      <a:headEnd/>
                      <a:tailEnd/>
                    </a:ln>
                  </pic:spPr>
                </pic:pic>
              </a:graphicData>
            </a:graphic>
          </wp:inline>
        </w:drawing>
      </w:r>
    </w:p>
    <w:p>
      <w:pPr>
        <w:pStyle w:val="ImageCaption"/>
      </w:pPr>
      <w:r>
        <w:t xml:space="preserve">Per-scenario latency distributions from the 48-node co-simulation (Table 3, seed 1). Sweep hits the closed form exactly; the hotspot and stress tails are sink backpressure, and no scenario drops a byte.</w:t>
      </w:r>
    </w:p>
    <w:bookmarkEnd w:id="77"/>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6">
        <w:r>
          <w:rPr>
            <w:rStyle w:val="Hyperlink"/>
          </w:rPr>
          <w:t xml:space="preserve">2.16</w:t>
        </w:r>
      </w:hyperlink>
      <w:r>
        <w:t xml:space="preserve">–2.17.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p>
      <w:pPr>
        <w:pStyle w:val="BodyText"/>
      </w:pPr>
      <w:r>
        <w:t xml:space="preserve">Beyond these transport proofs, the same harness executes the full numeric forward pass of a real transformer. It runs the actual Gemma-4 26B-A4B checkpoint (26.5 B parameters, BF16) entirely in software—real weights, the real 262</w:t>
      </w:r>
      <w:r>
        <w:t xml:space="preserve">,</w:t>
      </w:r>
      <w:r>
        <w:t xml:space="preserve">144-token byte-fallback BPE tokenizer, real multi-position attention, and a real top-8-of-128 mixture-of-experts router—with no torch or transformers runtime. Every activation tensor is rounded to BF16 between operations, matching the reference storage regime, including the router’s normalized expert weights. On the greedy-decode prompts tested the engine is token-for-token identical to a Hugging Face bf16 reference through the terminating turn token (the reference harness itself is not shipped; the repository test asserts the same token ids): the checkpoint’s own weights answer</w:t>
      </w:r>
      <w:r>
        <w:t xml:space="preserve"> </w:t>
      </w:r>
      <w:r>
        <w:t xml:space="preserve">“What is the capital of Germany”</w:t>
      </w:r>
      <w:r>
        <w:t xml:space="preserve"> </w:t>
      </w:r>
      <w:r>
        <w:t xml:space="preserve">with</w:t>
      </w:r>
      <w:r>
        <w:t xml:space="preserve"> </w:t>
      </w:r>
      <w:r>
        <w:t xml:space="preserve">“The capital of Germany is Berlin.”</w:t>
      </w:r>
      <w:r>
        <w:t xml:space="preserve"> </w:t>
      </w:r>
      <w:r>
        <w:t xml:space="preserve">and stop, and both the Germany and France chat prompts reproduce the reference’s first eight tokens exactly. Those routing decisions run against the same gates the fabric proof exercises, with the router’s top-8 weights landing bit-for-bit on the reference’s BF16 grid. As a hardware cross-check, a real 16</w:t>
      </w:r>
      <m:oMath>
        <m:r>
          <m:rPr>
            <m:sty m:val="p"/>
          </m:rPr>
          <m:t>×</m:t>
        </m:r>
      </m:oMath>
      <w:r>
        <w:t xml:space="preserve">16 tile of a layer-0 router weight matrix and a real embedding activation are loaded into the BF16 systolic MAC array of Section</w:t>
      </w:r>
      <w:r>
        <w:t xml:space="preserve"> </w:t>
      </w:r>
      <w:hyperlink w:anchor="sec:2.9">
        <w:r>
          <w:rPr>
            <w:rStyle w:val="Hyperlink"/>
          </w:rPr>
          <w:t xml:space="preserve">2.9</w:t>
        </w:r>
      </w:hyperlink>
      <w:r>
        <w:t xml:space="preserve"> </w:t>
      </w:r>
      <w:r>
        <w:t xml:space="preserve">and evaluated under gate-level simulation (</w:t>
      </w:r>
      <m:oMath>
        <m:r>
          <m:rPr>
            <m:nor/>
            <m:scr m:val="monospace"/>
            <m:sty m:val="p"/>
          </m:rPr>
          <m:t>iverilog</m:t>
        </m:r>
      </m:oMath>
      <w:r>
        <w:t xml:space="preserve">/</w:t>
      </w:r>
      <m:oMath>
        <m:r>
          <m:rPr>
            <m:nor/>
            <m:scr m:val="monospace"/>
            <m:sty m:val="p"/>
          </m:rPr>
          <m:t>vvp</m:t>
        </m:r>
      </m:oMath>
      <w:r>
        <w:t xml:space="preserve">), reproducing an exact BF16-FMA software reference on every output—linking real model weights to the arithmetic units the architecture specifies, independent of the software forward pass. Beyond the isolated tile, the full integrated node datapath of Section</w:t>
      </w:r>
      <w:r>
        <w:t xml:space="preserve"> </w:t>
      </w:r>
      <w:hyperlink w:anchor="sec:2.20">
        <w:r>
          <w:rPr>
            <w:rStyle w:val="Hyperlink"/>
          </w:rPr>
          <w:t xml:space="preserve">2.20</w:t>
        </w:r>
      </w:hyperlink>
      <w:r>
        <w:t xml:space="preserve"> </w:t>
      </w:r>
      <w:r>
        <w:t xml:space="preserve">is machine-checked on the same real weights: a selectable node MAC runs a complete expert pass, a 16-wide slice of the checkpoint’s layer-0 weights runs a real decoder block (attention, KV, dense MLP, top-2 MoE) that reproduces the corresponding BF16 reference word for word, and the gating ASIC’s top-1 decision dispatched as one fabric flit lands on the node and matches the software BF16 twin—so the router, the fabric, and the compute ASIC are verified as one composed pipeline rather than three separate pieces.</w:t>
      </w:r>
    </w:p>
    <w:bookmarkEnd w:id="78"/>
    <w:bookmarkStart w:id="80"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bookmarkStart w:id="79" w:name="tab:4"/>
    <w:p>
      <w:pPr>
        <w:pStyle w:val="TableCaption"/>
      </w:pPr>
      <w:r>
        <w:t xml:space="preserve">DUV MAC ASIC specifications (reference node; first-order estimates).</w:t>
      </w:r>
    </w:p>
    <w:tbl>
      <w:tblPr>
        <w:tblStyle w:val="Table"/>
        <w:tblW w:type="auto" w:w="0"/>
        <w:tblLook w:firstRow="1" w:lastRow="0" w:firstColumn="0" w:lastColumn="0" w:noHBand="0" w:noVBand="0" w:val="0020"/>
        <w:tblCaption w:val="DUV MAC ASIC specifications (reference node; first-order estimates)."/>
      </w:tblPr>
      <w:tblGrid>
        <w:gridCol w:w="3960"/>
        <w:gridCol w:w="3960"/>
      </w:tblGrid>
      <w:tr>
        <w:trPr>
          <w:tblHeader w:val="on"/>
        </w:trPr>
        <w:tc>
          <w:tcPr/>
          <w:p>
            <w:pPr>
              <w:pStyle w:val="Compact"/>
              <w:jc w:val="left"/>
            </w:pPr>
            <w:r>
              <w:t xml:space="preserve">Parameter</w:t>
            </w:r>
          </w:p>
        </w:tc>
        <w:tc>
          <w:tcPr/>
          <w:p>
            <w:pPr>
              <w:pStyle w:val="Compact"/>
              <w:jc w:val="left"/>
            </w:pPr>
            <w:r>
              <w:t xml:space="preserve">Specification</w:t>
            </w:r>
          </w:p>
        </w:tc>
      </w:tr>
      <w:tr>
        <w:tc>
          <w:tcPr/>
          <w:p>
            <w:pPr>
              <w:pStyle w:val="Compact"/>
              <w:jc w:val="left"/>
            </w:pPr>
            <w:r>
              <w:t xml:space="preserve">Process</w:t>
            </w:r>
          </w:p>
        </w:tc>
        <w:tc>
          <w:tcPr/>
          <w:p>
            <w:pPr>
              <w:pStyle w:val="Compact"/>
              <w:jc w:val="left"/>
            </w:pPr>
            <w:r>
              <w:t xml:space="preserve">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p>
        </w:tc>
      </w:tr>
      <w:tr>
        <w:tc>
          <w:tcPr/>
          <w:p>
            <w:pPr>
              <w:pStyle w:val="Compact"/>
              <w:jc w:val="left"/>
            </w:pPr>
            <w:r>
              <w:t xml:space="preserve">Clocks</w:t>
            </w:r>
          </w:p>
        </w:tc>
        <w:tc>
          <w:tcPr/>
          <w:p>
            <w:pPr>
              <w:pStyle w:val="Compact"/>
              <w:jc w:val="left"/>
            </w:pPr>
            <w:r>
              <w:t xml:space="preserve">GHz fabric/MAC clock; 10.7 Gb/s/pin LPDDR6 I/O via on-die PLL; source-synchronous fabric forwarding</w:t>
            </w:r>
          </w:p>
        </w:tc>
      </w:tr>
      <w:tr>
        <w:tc>
          <w:tcPr/>
          <w:p>
            <w:pPr>
              <w:pStyle w:val="Compact"/>
              <w:jc w:val="left"/>
            </w:pPr>
            <w:r>
              <w:t xml:space="preserve">MAC array</w:t>
            </w:r>
          </w:p>
        </w:tc>
        <w:tc>
          <w:tcPr/>
          <w:p>
            <w:pPr>
              <w:pStyle w:val="Compact"/>
              <w:jc w:val="left"/>
            </w:pPr>
            <w:r>
              <w:t xml:space="preserve">FP64 FMA lanes; 384 FP16 lanes (2</w:t>
            </w:r>
            <m:oMath>
              <m:r>
                <m:rPr>
                  <m:sty m:val="p"/>
                </m:rPr>
                <m:t>×</m:t>
              </m:r>
            </m:oMath>
            <w:r>
              <w:t xml:space="preserve"> </w:t>
            </w:r>
            <w:r>
              <w:t xml:space="preserve">packing); 768 INT8 lanes (4</w:t>
            </w:r>
            <m:oMath>
              <m:r>
                <m:rPr>
                  <m:sty m:val="p"/>
                </m:rPr>
                <m:t>×</m:t>
              </m:r>
            </m:oMath>
            <w:r>
              <w:t xml:space="preserve"> </w:t>
            </w:r>
            <w:r>
              <w:t xml:space="preserve">packing)</w:t>
            </w:r>
          </w:p>
        </w:tc>
      </w:tr>
      <w:tr>
        <w:tc>
          <w:tcPr/>
          <w:p>
            <w:pPr>
              <w:pStyle w:val="Compact"/>
              <w:jc w:val="left"/>
            </w:pPr>
            <w:r>
              <w:t xml:space="preserve">Peak throughput</w:t>
            </w:r>
          </w:p>
        </w:tc>
        <w:tc>
          <w:tcPr/>
          <w:p>
            <w:pPr>
              <w:pStyle w:val="Compact"/>
              <w:jc w:val="left"/>
            </w:pP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Memory interface</w:t>
            </w:r>
          </w:p>
        </w:tc>
        <w:tc>
          <w:tcPr/>
          <w:p>
            <w:pPr>
              <w:pStyle w:val="Compact"/>
              <w:jc w:val="left"/>
            </w:pPr>
            <w:r>
              <w:t xml:space="preserve">dual 192-bit LPDDR6 controller (384-bit aggregate), 4</w:t>
            </w:r>
            <m:oMath>
              <m:r>
                <m:rPr>
                  <m:sty m:val="p"/>
                </m:rPr>
                <m:t>×</m:t>
              </m:r>
            </m:oMath>
            <w:r>
              <w:t xml:space="preserve">48-bit channel groups each, 10.7 Gb/s/pin,</w:t>
            </w:r>
            <w:r>
              <w:t xml:space="preserve"> </w:t>
            </w:r>
            <m:oMath>
              <m:r>
                <m:rPr>
                  <m:sty m:val="p"/>
                </m:rPr>
                <m:t>≈</m:t>
              </m:r>
            </m:oMath>
            <w:r>
              <w:t xml:space="preserve">512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p>
        </w:tc>
      </w:tr>
      <w:tr>
        <w:tc>
          <w:tcPr/>
          <w:p>
            <w:pPr>
              <w:pStyle w:val="Compact"/>
              <w:jc w:val="left"/>
            </w:pPr>
            <w:r>
              <w:t xml:space="preserve">Fabric interface</w:t>
            </w:r>
          </w:p>
        </w:tc>
        <w:tc>
          <w:tcPr/>
          <w:p>
            <w:pPr>
              <w:pStyle w:val="Compact"/>
              <w:jc w:val="left"/>
            </w:pPr>
            <w:r>
              <w:t xml:space="preserve">AXI-Stream slave (RX) and master (TX), 128-bit @ 1 GHz,</w:t>
            </w:r>
            <w:r>
              <w:t xml:space="preserve"> </w:t>
            </w:r>
            <m:oMath>
              <m:r>
                <m:rPr>
                  <m:sty m:val="p"/>
                </m:rPr>
                <m:t>≈</m:t>
              </m:r>
            </m:oMath>
            <w:r>
              <w:t xml:space="preserve">16 GB/s per direction; wormhole framing, end-to-end CRC per message</w:t>
            </w:r>
          </w:p>
        </w:tc>
      </w:tr>
      <w:tr>
        <w:tc>
          <w:tcPr/>
          <w:p>
            <w:pPr>
              <w:pStyle w:val="Compact"/>
              <w:jc w:val="left"/>
            </w:pPr>
            <w:r>
              <w:t xml:space="preserve">Doorbell DMA</w:t>
            </w:r>
          </w:p>
        </w:tc>
        <w:tc>
          <w:tcPr/>
          <w:p>
            <w:pPr>
              <w:pStyle w:val="Compact"/>
              <w:jc w:val="left"/>
            </w:pPr>
            <w:r>
              <w:t xml:space="preserve">byte counter, running CRC, DEST compare; DOORBELL_TRIG/DOORBELL_ACK and NODE_ERR on the sideband (Section</w:t>
            </w:r>
            <w:r>
              <w:t xml:space="preserve"> </w:t>
            </w:r>
            <w:hyperlink w:anchor="sec:2.9">
              <w:r>
                <w:rPr>
                  <w:rStyle w:val="Hyperlink"/>
                </w:rPr>
                <w:t xml:space="preserve">2.9</w:t>
              </w:r>
            </w:hyperlink>
            <w:r>
              <w:t xml:space="preserve">)</w:t>
            </w:r>
          </w:p>
        </w:tc>
      </w:tr>
      <w:tr>
        <w:tc>
          <w:tcPr/>
          <w:p>
            <w:pPr>
              <w:pStyle w:val="Compact"/>
              <w:jc w:val="left"/>
            </w:pPr>
            <w:r>
              <w:t xml:space="preserve">On-chip SRAM</w:t>
            </w:r>
          </w:p>
        </w:tc>
        <w:tc>
          <w:tcPr/>
          <w:p>
            <w:pPr>
              <w:pStyle w:val="Compact"/>
              <w:jc w:val="left"/>
            </w:pPr>
            <m:oMath>
              <m:r>
                <m:rPr>
                  <m:sty m:val="p"/>
                </m:rPr>
                <m:t>≈</m:t>
              </m:r>
            </m:oMath>
            <w:r>
              <w:t xml:space="preserve">1–2 MB: elastic input buffer of at least one maximum-length message (compiler-set capacity), MAC staging, CRC/DMA workspace</w:t>
            </w:r>
          </w:p>
        </w:tc>
      </w:tr>
      <w:tr>
        <w:tc>
          <w:tcPr/>
          <w:p>
            <w:pPr>
              <w:pStyle w:val="Compact"/>
              <w:jc w:val="left"/>
            </w:pPr>
            <w:r>
              <w:t xml:space="preserve">Power</w:t>
            </w:r>
          </w:p>
        </w:tc>
        <w:tc>
          <w:tcPr/>
          <w:p>
            <w:pPr>
              <w:pStyle w:val="Compact"/>
              <w:jc w:val="left"/>
            </w:pP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p>
        </w:tc>
      </w:tr>
      <w:tr>
        <w:tc>
          <w:tcPr/>
          <w:p>
            <w:pPr>
              <w:pStyle w:val="Compact"/>
              <w:jc w:val="left"/>
            </w:pPr>
            <w:r>
              <w:t xml:space="preserve">Package</w:t>
            </w:r>
          </w:p>
        </w:tc>
        <w:tc>
          <w:tcPr/>
          <w:p>
            <w:pPr>
              <w:pStyle w:val="Compact"/>
              <w:jc w:val="left"/>
            </w:pPr>
            <w:r>
              <w:t xml:space="preserve">Variant A: socketed LGA/card-edge,</w:t>
            </w:r>
            <w:r>
              <w:t xml:space="preserve"> </w:t>
            </w:r>
            <m:oMath>
              <m:r>
                <m:rPr>
                  <m:sty m:val="p"/>
                </m:rPr>
                <m:t>≈</m:t>
              </m:r>
            </m:oMath>
            <w:r>
              <w:t xml:space="preserve">800–850 pins,</w:t>
            </w:r>
            <w:r>
              <w:t xml:space="preserve"> </w:t>
            </w:r>
            <m:oMath>
              <m:r>
                <m:rPr>
                  <m:sty m:val="p"/>
                </m:rPr>
                <m:t>≈</m:t>
              </m:r>
            </m:oMath>
            <w:r>
              <w:t xml:space="preserve">20 mm from the two CAMM2 sockets; Variant B: mounted on a module substrate</w:t>
            </w:r>
          </w:p>
        </w:tc>
      </w:tr>
    </w:tbl>
    <w:bookmarkEnd w:id="79"/>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bridge is a second, distinct die: a CPU-less bridge that owns the chassis management plane (Section</w:t>
      </w:r>
      <w:r>
        <w:t xml:space="preserve"> </w:t>
      </w:r>
      <w:hyperlink w:anchor="sec:2.17">
        <w:r>
          <w:rPr>
            <w:rStyle w:val="Hyperlink"/>
          </w:rPr>
          <w:t xml:space="preserve">2.17</w:t>
        </w:r>
      </w:hyperlink>
      <w:r>
        <w:t xml:space="preserve">). Unlike the compute nodes, which are fixed-function MAC ASICs, the bridge is programmable—but by the host, not by itself: it accepts the host’s routing tables, weight blobs, and dispatch commands over a host link (Section</w:t>
      </w:r>
      <w:r>
        <w:t xml:space="preserve"> </w:t>
      </w:r>
      <w:hyperlink w:anchor="sec:4.2">
        <w:r>
          <w:rPr>
            <w:rStyle w:val="Hyperlink"/>
          </w:rPr>
          <w:t xml:space="preserve">4.2</w:t>
        </w:r>
      </w:hyperlink>
      <w:r>
        <w:t xml:space="preserve">), performs the topology discovery and gating that the host’s firmware drives it through, and injects the resulting flits into the fabric. The host runs the bridge’s firmware, so the same silicon serves a Raspberry Pi, a microcontroller, or a workstation without change. The bridge die is smaller than the compute die (no MAC array, no 192-bit LPDDR6 PHY, no processor, no boot ROM, and no timer), uses the same mature-node process, carries a 64 KB staging SRAM,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twelve representative unit types, selected at compile time by the kernel mapper (Section</w:t>
      </w:r>
      <w:r>
        <w:t xml:space="preserve"> </w:t>
      </w:r>
      <w:hyperlink w:anchor="sec:2.7">
        <w:r>
          <w:rPr>
            <w:rStyle w:val="Hyperlink"/>
          </w:rPr>
          <w:t xml:space="preserve">2.7</w:t>
        </w:r>
      </w:hyperlink>
      <w:r>
        <w:t xml:space="preserve">); the RTL folds every FMA/ALU/MAC/select-add datapath into one CU-selected ‘arith_unit‘ (CU 0–11), and the 16-bit FP systolic array into one CU-parameterized ‘fp_mac_array‘, so the operation class is a build/compile choice rather than a second RTL family. The node exposes all of them through a single ‘CU_TYPE‘ selector (Section</w:t>
      </w:r>
      <w:r>
        <w:t xml:space="preserve"> </w:t>
      </w:r>
      <w:hyperlink w:anchor="sec:2.20">
        <w:r>
          <w:rPr>
            <w:rStyle w:val="Hyperlink"/>
          </w:rPr>
          <w:t xml:space="preserve">2.20</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Unit</w:t>
            </w:r>
          </w:p>
        </w:tc>
        <w:tc>
          <w:tcPr/>
          <w:p>
            <w:pPr>
              <w:pStyle w:val="Compact"/>
              <w:jc w:val="left"/>
            </w:pPr>
            <w:r>
              <w:t xml:space="preserve">Precision</w:t>
            </w:r>
          </w:p>
        </w:tc>
        <w:tc>
          <w:tcPr/>
          <w:p>
            <w:pPr>
              <w:pStyle w:val="Compact"/>
              <w:jc w:val="left"/>
            </w:pPr>
            <w:r>
              <w:t xml:space="preserve">Pipeline latency</w:t>
            </w:r>
          </w:p>
        </w:tc>
        <w:tc>
          <w:tcPr/>
          <w:p>
            <w:pPr>
              <w:pStyle w:val="Compact"/>
              <w:jc w:val="left"/>
            </w:pPr>
            <w:r>
              <w:t xml:space="preserve">Operation class</w:t>
            </w:r>
          </w:p>
        </w:tc>
        <w:tc>
          <w:tcPr/>
          <w:p>
            <w:pPr>
              <w:pStyle w:val="Compact"/>
              <w:jc w:val="left"/>
            </w:pPr>
            <w:r>
              <w:t xml:space="preserve">Workload mapping</w:t>
            </w:r>
          </w:p>
        </w:tc>
      </w:tr>
      <w:tr>
        <w:tc>
          <w:tcPr/>
          <w:p>
            <w:pPr>
              <w:pStyle w:val="Compact"/>
              <w:jc w:val="left"/>
            </w:pPr>
            <w:r>
              <w:t xml:space="preserve">fp16_fma</w:t>
            </w:r>
          </w:p>
        </w:tc>
        <w:tc>
          <w:tcPr/>
          <w:p>
            <w:pPr>
              <w:pStyle w:val="Compact"/>
              <w:jc w:val="left"/>
            </w:pPr>
            <w:r>
              <w:t xml:space="preserve">FP16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FP16 transformer inference, mixed-precision stencil halos</w:t>
            </w:r>
          </w:p>
        </w:tc>
      </w:tr>
      <w:tr>
        <w:tc>
          <w:tcPr/>
          <w:p>
            <w:pPr>
              <w:pStyle w:val="Compact"/>
              <w:jc w:val="left"/>
            </w:pPr>
            <w:r>
              <w:t xml:space="preserve">bf16_fma</w:t>
            </w:r>
          </w:p>
        </w:tc>
        <w:tc>
          <w:tcPr/>
          <w:p>
            <w:pPr>
              <w:pStyle w:val="Compact"/>
              <w:jc w:val="left"/>
            </w:pPr>
            <w:r>
              <w:t xml:space="preserve">BF16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MoE expert weight-streaming, dense MLP projections (default)</w:t>
            </w:r>
          </w:p>
        </w:tc>
      </w:tr>
      <w:tr>
        <w:tc>
          <w:tcPr/>
          <w:p>
            <w:pPr>
              <w:pStyle w:val="Compact"/>
              <w:jc w:val="left"/>
            </w:pPr>
            <w:r>
              <w:t xml:space="preserve">fp32_fma</w:t>
            </w:r>
          </w:p>
        </w:tc>
        <w:tc>
          <w:tcPr/>
          <w:p>
            <w:pPr>
              <w:pStyle w:val="Compact"/>
              <w:jc w:val="left"/>
            </w:pPr>
            <w:r>
              <w:t xml:space="preserve">FP32</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High-precision layer norms, attention softmax denominators</w:t>
            </w:r>
          </w:p>
        </w:tc>
      </w:tr>
      <w:tr>
        <w:tc>
          <w:tcPr/>
          <w:p>
            <w:pPr>
              <w:pStyle w:val="Compact"/>
              <w:jc w:val="left"/>
            </w:pPr>
            <w:r>
              <w:t xml:space="preserve">fp64_fma</w:t>
            </w:r>
          </w:p>
        </w:tc>
        <w:tc>
          <w:tcPr/>
          <w:p>
            <w:pPr>
              <w:pStyle w:val="Compact"/>
              <w:jc w:val="left"/>
            </w:pPr>
            <w:r>
              <w:t xml:space="preserve">FP64</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FP64 stencil computation, scientific HPC kernels</w:t>
            </w:r>
          </w:p>
        </w:tc>
      </w:tr>
      <w:tr>
        <w:tc>
          <w:tcPr/>
          <w:p>
            <w:pPr>
              <w:pStyle w:val="Compact"/>
              <w:jc w:val="left"/>
            </w:pPr>
            <w:r>
              <w:t xml:space="preserve">fp16_mac_array</w:t>
            </w:r>
          </w:p>
        </w:tc>
        <w:tc>
          <w:tcPr/>
          <w:p>
            <w:pPr>
              <w:pStyle w:val="Compact"/>
              <w:jc w:val="left"/>
            </w:pPr>
            <w:r>
              <w:t xml:space="preserve">FP16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FP16 attention QKV projections</w:t>
            </w:r>
          </w:p>
        </w:tc>
      </w:tr>
      <w:tr>
        <w:tc>
          <w:tcPr/>
          <w:p>
            <w:pPr>
              <w:pStyle w:val="Compact"/>
              <w:jc w:val="left"/>
            </w:pPr>
            <w:r>
              <w:t xml:space="preserve">bf16_mac_array</w:t>
            </w:r>
          </w:p>
        </w:tc>
        <w:tc>
          <w:tcPr/>
          <w:p>
            <w:pPr>
              <w:pStyle w:val="Compact"/>
              <w:jc w:val="left"/>
            </w:pPr>
            <w:r>
              <w:t xml:space="preserve">BF16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BF16 attention QKV projections (default)</w:t>
            </w:r>
          </w:p>
        </w:tc>
      </w:tr>
      <w:tr>
        <w:tc>
          <w:tcPr/>
          <w:p>
            <w:pPr>
              <w:pStyle w:val="Compact"/>
              <w:jc w:val="left"/>
            </w:pPr>
            <w:r>
              <w:t xml:space="preserve">fp32_alu</w:t>
            </w:r>
          </w:p>
        </w:tc>
        <w:tc>
          <w:tcPr/>
          <w:p>
            <w:pPr>
              <w:pStyle w:val="Compact"/>
              <w:jc w:val="left"/>
            </w:pPr>
            <w:r>
              <w:t xml:space="preserve">FP32</w:t>
            </w:r>
          </w:p>
        </w:tc>
        <w:tc>
          <w:tcPr/>
          <w:p>
            <w:pPr>
              <w:pStyle w:val="Compact"/>
              <w:jc w:val="left"/>
            </w:pPr>
            <w:r>
              <w:t xml:space="preserve">–28 cycles</w:t>
            </w:r>
          </w:p>
        </w:tc>
        <w:tc>
          <w:tcPr/>
          <w:p>
            <w:pPr>
              <w:pStyle w:val="Compact"/>
              <w:jc w:val="left"/>
            </w:pPr>
            <w:r>
              <w:t xml:space="preserve">ALU (ADD, SUB, MUL, DIV, MIN, MAX, CMP)</w:t>
            </w:r>
          </w:p>
        </w:tc>
        <w:tc>
          <w:tcPr/>
          <w:p>
            <w:pPr>
              <w:pStyle w:val="Compact"/>
              <w:jc w:val="left"/>
            </w:pPr>
            <w:r>
              <w:t xml:space="preserve">Layer norm, softmax, activation functions</w:t>
            </w:r>
          </w:p>
        </w:tc>
      </w:tr>
      <w:tr>
        <w:tc>
          <w:tcPr/>
          <w:p>
            <w:pPr>
              <w:pStyle w:val="Compact"/>
              <w:jc w:val="left"/>
            </w:pPr>
            <w:r>
              <w:t xml:space="preserve">int8_mac</w:t>
            </w:r>
          </w:p>
        </w:tc>
        <w:tc>
          <w:tcPr/>
          <w:p>
            <w:pPr>
              <w:pStyle w:val="Compact"/>
              <w:jc w:val="left"/>
            </w:pPr>
            <w:r>
              <w:t xml:space="preserve">INT8</w:t>
            </w:r>
          </w:p>
        </w:tc>
        <w:tc>
          <w:tcPr/>
          <w:p>
            <w:pPr>
              <w:pStyle w:val="Compact"/>
              <w:jc w:val="left"/>
            </w:pPr>
            <w:r>
              <w:t xml:space="preserve">cycles</w:t>
            </w:r>
          </w:p>
        </w:tc>
        <w:tc>
          <w:tcPr/>
          <w:p>
            <w:pPr>
              <w:pStyle w:val="Compact"/>
              <w:jc w:val="left"/>
            </w:pPr>
            <w:r>
              <w:t xml:space="preserve">Multiply-Accumulate</w:t>
            </w:r>
          </w:p>
        </w:tc>
        <w:tc>
          <w:tcPr/>
          <w:p>
            <w:pPr>
              <w:pStyle w:val="Compact"/>
              <w:jc w:val="left"/>
            </w:pPr>
            <w:r>
              <w:t xml:space="preserve">Quantized inference, INT8 weight-stationary kernels</w:t>
            </w:r>
          </w:p>
        </w:tc>
      </w:tr>
      <w:tr>
        <w:tc>
          <w:tcPr/>
          <w:p>
            <w:pPr>
              <w:pStyle w:val="Compact"/>
              <w:jc w:val="left"/>
            </w:pPr>
            <w:r>
              <w:t xml:space="preserve">int4_mac_array</w:t>
            </w:r>
          </w:p>
        </w:tc>
        <w:tc>
          <w:tcPr/>
          <w:p>
            <w:pPr>
              <w:pStyle w:val="Compact"/>
              <w:jc w:val="left"/>
            </w:pPr>
            <w:r>
              <w:t xml:space="preserve">INT4, INT8</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INT4 quantized inference (4</w:t>
            </w:r>
            <m:oMath>
              <m:r>
                <m:rPr>
                  <m:sty m:val="p"/>
                </m:rPr>
                <m:t>×</m:t>
              </m:r>
            </m:oMath>
            <w:r>
              <w:t xml:space="preserve"> </w:t>
            </w:r>
            <w:r>
              <w:t xml:space="preserve">density vs BF16)</w:t>
            </w:r>
          </w:p>
        </w:tc>
      </w:tr>
      <w:tr>
        <w:tc>
          <w:tcPr/>
          <w:p>
            <w:pPr>
              <w:pStyle w:val="Compact"/>
              <w:jc w:val="left"/>
            </w:pPr>
            <w:r>
              <w:t xml:space="preserve">fp4_mac_array</w:t>
            </w:r>
          </w:p>
        </w:tc>
        <w:tc>
          <w:tcPr/>
          <w:p>
            <w:pPr>
              <w:pStyle w:val="Compact"/>
              <w:jc w:val="left"/>
            </w:pPr>
            <w:r>
              <w:t xml:space="preserve">FP4 (E2M1)</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FP4 quantized inference (4</w:t>
            </w:r>
            <m:oMath>
              <m:r>
                <m:rPr>
                  <m:sty m:val="p"/>
                </m:rPr>
                <m:t>×</m:t>
              </m:r>
            </m:oMath>
            <w:r>
              <w:t xml:space="preserve"> </w:t>
            </w:r>
            <w:r>
              <w:t xml:space="preserve">density vs BF16)</w:t>
            </w:r>
          </w:p>
        </w:tc>
      </w:tr>
      <w:tr>
        <w:tc>
          <w:tcPr/>
          <w:p>
            <w:pPr>
              <w:pStyle w:val="Compact"/>
              <w:jc w:val="left"/>
            </w:pPr>
            <w:r>
              <w:t xml:space="preserve">mxfp4_mac_array</w:t>
            </w:r>
          </w:p>
        </w:tc>
        <w:tc>
          <w:tcPr/>
          <w:p>
            <w:pPr>
              <w:pStyle w:val="Compact"/>
              <w:jc w:val="left"/>
            </w:pPr>
            <w:r>
              <w:t xml:space="preserve">MXFP4</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MXFP4 block-scaled (OCP microscaling) inference</w:t>
            </w:r>
          </w:p>
        </w:tc>
      </w:tr>
      <w:tr>
        <w:tc>
          <w:tcPr/>
          <w:p>
            <w:pPr>
              <w:pStyle w:val="Compact"/>
              <w:jc w:val="left"/>
            </w:pPr>
            <w:r>
              <w:t xml:space="preserve">ternary_acc</w:t>
            </w:r>
          </w:p>
        </w:tc>
        <w:tc>
          <w:tcPr/>
          <w:p>
            <w:pPr>
              <w:pStyle w:val="Compact"/>
              <w:jc w:val="left"/>
            </w:pPr>
            <m:oMath>
              <m:r>
                <m:rPr>
                  <m:sty m:val="p"/>
                </m:rPr>
                <m:t>−</m:t>
              </m:r>
            </m:oMath>
            <w:r>
              <w:t xml:space="preserve">1, 0, +1</w:t>
            </w:r>
            <w:r>
              <w:t xml:space="preserve"> </w:t>
            </w:r>
            <m:oMath>
              <m:r>
                <m:rPr>
                  <m:sty m:val="p"/>
                </m:rPr>
                <m:t>×</m:t>
              </m:r>
            </m:oMath>
            <w:r>
              <w:t xml:space="preserve"> </w:t>
            </w:r>
            <w:r>
              <w:t xml:space="preserve">INT8</w:t>
            </w:r>
          </w:p>
        </w:tc>
        <w:tc>
          <w:tcPr/>
          <w:p>
            <w:pPr>
              <w:pStyle w:val="Compact"/>
              <w:jc w:val="left"/>
            </w:pPr>
            <w:r>
              <w:t xml:space="preserve">cycles</w:t>
            </w:r>
          </w:p>
        </w:tc>
        <w:tc>
          <w:tcPr/>
          <w:p>
            <w:pPr>
              <w:pStyle w:val="Compact"/>
              <w:jc w:val="left"/>
            </w:pPr>
            <w:r>
              <w:t xml:space="preserve">Select-add accumulator</w:t>
            </w:r>
          </w:p>
        </w:tc>
        <w:tc>
          <w:tcPr/>
          <w:p>
            <w:pPr>
              <w:pStyle w:val="Compact"/>
              <w:jc w:val="left"/>
            </w:pPr>
            <w:r>
              <w:t xml:space="preserve">BitNet b1.58 weight streaming ( 1.58 bits/weight)</w:t>
            </w:r>
          </w:p>
        </w:tc>
      </w:tr>
    </w:tbl>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The spectrum extends one step below 4-bit, to BitNet-style 1.58-bit weights</w:t>
      </w:r>
      <w:r>
        <w:t xml:space="preserve">. A ternary weight is restricted to</w:t>
      </w:r>
      <w:r>
        <w:t xml:space="preserve"> </w:t>
      </w:r>
      <m:oMath>
        <m:r>
          <m:rPr>
            <m:sty m:val="p"/>
          </m:rPr>
          <m:t>−</m:t>
        </m:r>
      </m:oMath>
      <w:r>
        <w:t xml:space="preserve">1, 0, +1</w:t>
      </w:r>
      <w:r>
        <w:t xml:space="preserve">, so multiplying by it is not a multiplication at all but a signed conditional add/subtract: the ‘ternary_acc‘ unit computes one such accumulate step—a ternary weight against an INT8 activation, accumulated into signed INT32—on the same two-stage pipeline as the INT8 MAC, and it carries no multiplier (a select-add accumulator rather than a MAC), and the node of Section</w:t>
      </w:r>
      <w:r>
        <w:t xml:space="preserve"> </w:t>
      </w:r>
      <w:hyperlink w:anchor="sec:2.20">
        <w:r>
          <w:rPr>
            <w:rStyle w:val="Hyperlink"/>
          </w:rPr>
          <w:t xml:space="preserve">2.20</w:t>
        </w:r>
      </w:hyperlink>
      <w:r>
        <w:t xml:space="preserve"> </w:t>
      </w:r>
      <w:r>
        <w:t xml:space="preserve">selects it as ‘CU_TYPE‘ 8. The per-tensor (or per-channel) scale</w:t>
      </w:r>
      <w:r>
        <w:t xml:space="preserve"> </w:t>
      </w:r>
      <m:oMath>
        <m:sSub>
          <m:e>
            <m:r>
              <m:t>s</m:t>
            </m:r>
          </m:e>
          <m:sub>
            <m:r>
              <m:t>x</m:t>
            </m:r>
          </m:sub>
        </m:sSub>
        <m:r>
          <m:rPr>
            <m:sty m:val="p"/>
          </m:rPr>
          <m:t>⋅</m:t>
        </m:r>
        <m:sSub>
          <m:e>
            <m:r>
              <m:t>s</m:t>
            </m:r>
          </m:e>
          <m:sub>
            <m:r>
              <m:t>w</m:t>
            </m:r>
          </m:sub>
        </m:sSub>
      </m:oMath>
      <w:r>
        <w:t xml:space="preserve"> </w:t>
      </w:r>
      <w:r>
        <w:t xml:space="preserve">is applied after the integer accumulate, host-side, exactly as the existing per-expert scale is. Ternary weights are roughly 1.58 bits per parameter against BF16’s 16—a</w:t>
      </w:r>
      <w:r>
        <w:t xml:space="preserve"> </w:t>
      </w:r>
      <m:oMath>
        <m:r>
          <m:rPr>
            <m:sty m:val="p"/>
          </m:rPr>
          <m:t>∼</m:t>
        </m:r>
      </m:oMath>
      <w:r>
        <w:t xml:space="preserve">10</w:t>
      </w:r>
      <m:oMath>
        <m:r>
          <m:rPr>
            <m:sty m:val="p"/>
          </m:rPr>
          <m:t>×</m:t>
        </m:r>
      </m:oMath>
      <w:r>
        <w:t xml:space="preserve"> </w:t>
      </w:r>
      <w:r>
        <w:t xml:space="preserve">reduction in both resident footprint and weight-streaming traffic—which sharpens the capacity-bound argument of Section</w:t>
      </w:r>
      <w:r>
        <w:t xml:space="preserve"> </w:t>
      </w:r>
      <w:hyperlink w:anchor="sec:4.5">
        <w:r>
          <w:rPr>
            <w:rStyle w:val="Hyperlink"/>
          </w:rPr>
          <w:t xml:space="preserve">4.5</w:t>
        </w:r>
      </w:hyperlink>
      <w:r>
        <w:t xml:space="preserve"> </w:t>
      </w:r>
      <w:r>
        <w:t xml:space="preserve">without moving the fabric-bound ceiling, since that ceiling is set by the pipeline depth and the wire format, not the data width. The unit is validated bit-exact against a select-add oracle in gate-level simulation (node ‘CU_TYPE‘ 8), and the assembly builder ships it as a node product (‘implementations/boards/node_ternary.json‘).</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carries a ‘CU_TYPE‘ selector—bias-add, BF16 FMA, INT4/FP4/MXFP4 MAC, or the transport stub’s legacy ‘USE_FMA‘ bias-add mode—so the same interface hosts any unit behind it (Section</w:t>
      </w:r>
      <w:r>
        <w:t xml:space="preserve"> </w:t>
      </w:r>
      <w:hyperlink w:anchor="sec:2.20">
        <w:r>
          <w:rPr>
            <w:rStyle w:val="Hyperlink"/>
          </w:rPr>
          <w:t xml:space="preserve">2.20</w:t>
        </w:r>
      </w:hyperlink>
      <w:r>
        <w:t xml:space="preserve">).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80"/>
    <w:bookmarkStart w:id="81"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two LPCAMM2/LPDDR6 modules</w:t>
      </w:r>
      <w:r>
        <w:t xml:space="preserve"> </w:t>
      </w:r>
      <w:r>
        <w:t xml:space="preserve">for the</w:t>
      </w:r>
      <w:r>
        <w:t xml:space="preserve"> </w:t>
      </w:r>
      <m:oMath>
        <m:r>
          <m:rPr>
            <m:sty m:val="p"/>
          </m:rPr>
          <m:t>≈</m:t>
        </m:r>
      </m:oMath>
      <w:r>
        <w:t xml:space="preserve">512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81"/>
    <w:bookmarkEnd w:id="82"/>
    <w:bookmarkStart w:id="89" w:name="sec:discussion"/>
    <w:p>
      <w:pPr>
        <w:pStyle w:val="Heading1"/>
      </w:pPr>
      <w:r>
        <w:t xml:space="preserve">Discussion</w:t>
      </w:r>
    </w:p>
    <w:bookmarkStart w:id="83"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83"/>
    <w:bookmarkStart w:id="84" w:name="sec:4.2"/>
    <w:p>
      <w:pPr>
        <w:pStyle w:val="Heading2"/>
      </w:pPr>
      <w:r>
        <w:t xml:space="preserve">4.2 Host interface and I/O</w:t>
      </w:r>
    </w:p>
    <w:p>
      <w:pPr>
        <w:pStyle w:val="FirstParagraph"/>
      </w:pPr>
      <w:r>
        <w:t xml:space="preserve">The host attaches to the central router bridge over a byte-level host link—SPI on a Raspberry Pi, or the same protocol from a microcontroller—and a workstation host reaches the same window over PCIe.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The weight-upload bound of Section</w:t>
      </w:r>
      <w:r>
        <w:t xml:space="preserve"> </w:t>
      </w:r>
      <w:hyperlink w:anchor="sec:2.5">
        <w:r>
          <w:rPr>
            <w:rStyle w:val="Hyperlink"/>
          </w:rPr>
          <w:t xml:space="preserve">2.5</w:t>
        </w:r>
      </w:hyperlink>
      <w:r>
        <w:t xml:space="preserve"> </w:t>
      </w:r>
      <w:r>
        <w:t xml:space="preserve">is set by this uplink, and a link of</w:t>
      </w:r>
      <w:r>
        <w:t xml:space="preserve"> </w:t>
      </w:r>
      <m:oMath>
        <m:r>
          <m:t>B</m:t>
        </m:r>
      </m:oMath>
      <w:r>
        <w:t xml:space="preserve"> </w:t>
      </w:r>
      <w:r>
        <w:t xml:space="preserve">bytes per second uploads 64 TB in</w:t>
      </w:r>
      <w:r>
        <w:t xml:space="preserve"> </w:t>
      </w:r>
      <m:oMath>
        <m:r>
          <m:t>64</m:t>
        </m:r>
        <m:r>
          <m:rPr>
            <m:sty m:val="p"/>
          </m:rPr>
          <m:t>×</m:t>
        </m:r>
        <m:sSup>
          <m:e>
            <m:r>
              <m:t>10</m:t>
            </m:r>
          </m:e>
          <m:sup>
            <m:r>
              <m:t>12</m:t>
            </m:r>
          </m:sup>
        </m:sSup>
        <m:r>
          <m:rPr>
            <m:sty m:val="p"/>
          </m:rPr>
          <m:t>/</m:t>
        </m:r>
        <m:r>
          <m:t>B</m:t>
        </m:r>
      </m:oMath>
      <w:r>
        <w:t xml:space="preserve"> </w:t>
      </w:r>
      <w:r>
        <w:t xml:space="preserve">seconds.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84"/>
    <w:bookmarkStart w:id="85"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85"/>
    <w:bookmarkStart w:id="86"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place-and-route, timing closure, or silicon measurement behind the bandwidth, power, thermal, or cost figures. The only synthesis evidence is a generic Yosys smoke test (the companion repository’s synth.sh): every routing gate, the doorbell, a BF16 FMA unit, and the host bridge map to technology-independent cells (23 to 3,519 cells for the routing and compute blocks, at logic depths between 1 and 32 levels), which shows that the RTL elaborates and synthesizes but uses no standard-cell library and backs no timing, area, power, or bandwidth figure.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needs roughly 0.7 MB of projector weights, which is the weight store the shipped gating ASIC provides, so only the gating evaluation latency is a projection. The real-checkpoint forward pass of Section</w:t>
      </w:r>
      <w:r>
        <w:t xml:space="preserve"> </w:t>
      </w:r>
      <w:hyperlink w:anchor="sec:3.5">
        <w:r>
          <w:rPr>
            <w:rStyle w:val="Hyperlink"/>
          </w:rPr>
          <w:t xml:space="preserve">3.5</w:t>
        </w:r>
      </w:hyperlink>
      <w:r>
        <w:t xml:space="preserve"> </w:t>
      </w:r>
      <w:r>
        <w:t xml:space="preserve">is a software result—it validates the numeric engine against a BF16 reference, not the RTL—and a full trained forward pass on the fabric remains future work; the gate-level evidence for real weights is limited to the router-weight tile of Section</w:t>
      </w:r>
      <w:r>
        <w:t xml:space="preserve"> </w:t>
      </w:r>
      <w:hyperlink w:anchor="sec:3.5">
        <w:r>
          <w:rPr>
            <w:rStyle w:val="Hyperlink"/>
          </w:rPr>
          <w:t xml:space="preserve">3.5</w:t>
        </w:r>
      </w:hyperlink>
      <w:r>
        <w:t xml:space="preserve">.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a real-checkpoint numeric forward pass that is greedy-token-identical to a BF16 reference on the tested prompts; and a bit-exact integrated compute datapath—the gating ASIC’s decision dispatched as one fabric flit, the node MAC running that expert, a full decoder block against a BF16 reference, and the chain of all three across model layers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 the co-simulation actually exercises is the end-to-end CRC-16/CCITT-FALSE check of Sections</w:t>
      </w:r>
      <w:r>
        <w:t xml:space="preserve"> </w:t>
      </w:r>
      <w:hyperlink w:anchor="sec:2.9">
        <w:r>
          <w:rPr>
            <w:rStyle w:val="Hyperlink"/>
          </w:rPr>
          <w:t xml:space="preserve">2.9</w:t>
        </w:r>
      </w:hyperlink>
      <w:r>
        <w:t xml:space="preserve"> </w:t>
      </w:r>
      <w:r>
        <w:t xml:space="preserve">and</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86"/>
    <w:bookmarkStart w:id="87"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Chassis capacity is also a function of weight encoding, and here the precision spectrum of Section</w:t>
      </w:r>
      <w:r>
        <w:t xml:space="preserve"> </w:t>
      </w:r>
      <w:hyperlink w:anchor="sec:3.6">
        <w:r>
          <w:rPr>
            <w:rStyle w:val="Hyperlink"/>
          </w:rPr>
          <w:t xml:space="preserve">3.6</w:t>
        </w:r>
      </w:hyperlink>
      <w:r>
        <w:t xml:space="preserve"> </w:t>
      </w:r>
      <w:r>
        <w:t xml:space="preserve">compounds with the capacity argument. The same 64 TB of commodity DRAM holds roughly 32 trillion BF16 parameters but about 324 trillion ternary (BitNet b1.58) weights—a factor of ten—for models whose quality is preserved by 1.58-bit quantization</w:t>
      </w:r>
      <w:r>
        <w:t xml:space="preserve">. Capacity-bound serving and low-precision weight formats are thus multiplicative rather than additive levers: the cost per served parameter falls both because commodity DRAM is cheap and because each byte carries four ternary weights instead of half a BF16 weight. The ‘pnmhost benchmark‘ cost table reports this full weight-format spectrum (</w:t>
      </w:r>
      <m:oMath>
        <m:r>
          <m:rPr>
            <m:sty m:val="p"/>
          </m:rPr>
          <m:t>∼</m:t>
        </m:r>
      </m:oMath>
      <w:r>
        <w:t xml:space="preserve">32 T BF16 / 64 T INT8 / 128 T INT4 / 324 T ternary parameters per 64 TB chassis), and the ternary encoding is realised in silicon by the multiplier-free select-add accumulator of Section</w:t>
      </w:r>
      <w:r>
        <w:t xml:space="preserve"> </w:t>
      </w:r>
      <w:hyperlink w:anchor="sec:3.6">
        <w:r>
          <w:rPr>
            <w:rStyle w:val="Hyperlink"/>
          </w:rPr>
          <w:t xml:space="preserve">3.6</w:t>
        </w:r>
      </w:hyperlink>
      <w:r>
        <w:t xml:space="preserve"> </w:t>
      </w:r>
      <w:r>
        <w:t xml:space="preserve">(node ‘CU_TYPE‘ 8, validated bit-exact).</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87"/>
    <w:bookmarkStart w:id="88" w:name="sec:4.6"/>
    <w:p>
      <w:pPr>
        <w:pStyle w:val="Heading2"/>
      </w:pPr>
      <w:r>
        <w:t xml:space="preserve">4.6 Design-for-test and manufacturing readiness</w:t>
      </w:r>
    </w:p>
    <w:p>
      <w:pPr>
        <w:pStyle w:val="FirstParagraph"/>
      </w:pPr>
      <w:r>
        <w:t xml:space="preserve">Design-for-test follows the same concentration principle. Both dies’ clock-gating cells carry a scan-mode override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The PHY blocks self-test through loopback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88"/>
    <w:bookmarkEnd w:id="89"/>
    <w:bookmarkStart w:id="90"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CPU-less router bridge at the spine root provides the management plane on a single socketed, cold-swappable die; the host—a Raspberry Pi, a microcontroller, or a workstation—runs its firmware, so the same silicon serves every deployment.</w:t>
      </w:r>
    </w:p>
    <w:p>
      <w:pPr>
        <w:pStyle w:val="BodyText"/>
      </w:pPr>
      <w:r>
        <w:t xml:space="preserve">The reference chassis—64 TB, 262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24</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90"/>
    <w:bookmarkStart w:id="91"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42</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r>
        <w:t xml:space="preserve"> </w:t>
      </w:r>
      <w:r>
        <w:t xml:space="preserve">F. Devaux. The true processing in memory accelerator.</w:t>
      </w:r>
      <w:r>
        <w:t xml:space="preserve"> </w:t>
      </w:r>
      <w:r>
        <w:rPr>
          <w:i/>
          <w:iCs/>
        </w:rPr>
        <w:t xml:space="preserve">2019 IEEE Hot Chips 31 Symposium (HCS)</w:t>
      </w:r>
      <w:r>
        <w:t xml:space="preserve">. pg. 1-24, 2019.</w:t>
      </w:r>
      <w:r>
        <w:t xml:space="preserve"> </w:t>
      </w:r>
      <w:r>
        <w:t xml:space="preserve">Y.-C. Kwon, S. H. Lee, J. Lee, et al. A 20nm 6GB function-in-memory DRAM, based on HBM2 with a 1.2TFLOPS programmable computing unit using bank-level parallelism, for machine learning applications.</w:t>
      </w:r>
      <w:r>
        <w:t xml:space="preserve"> </w:t>
      </w:r>
      <w:r>
        <w:rPr>
          <w:i/>
          <w:iCs/>
        </w:rPr>
        <w:t xml:space="preserve">2021 IEEE International Solid-State Circuits Conference (ISSCC)</w:t>
      </w:r>
      <w:r>
        <w:t xml:space="preserve">. pg. 350-352, 2021.</w:t>
      </w:r>
      <w:r>
        <w:t xml:space="preserve"> </w:t>
      </w:r>
      <w:r>
        <w:t xml:space="preserve">J. H. Kim, S. Kang, S. Lee, et al. Aquabolt-XL: Samsung HBM2-PIM with in-memory processing for ML accelerators and beyond.</w:t>
      </w:r>
      <w:r>
        <w:t xml:space="preserve"> </w:t>
      </w:r>
      <w:r>
        <w:rPr>
          <w:i/>
          <w:iCs/>
        </w:rPr>
        <w:t xml:space="preserve">2021 IEEE Hot Chips 33 Symposium (HCS)</w:t>
      </w:r>
      <w:r>
        <w:t xml:space="preserve">. pg. 1-26, 2021.</w:t>
      </w:r>
      <w:r>
        <w:t xml:space="preserve"> </w:t>
      </w:r>
      <w:r>
        <w:t xml:space="preserve">J. H. Kim, et al. Aquabolt-XL HBM2-PIM, LPDDR5-PIM with in-memory processing, and AXDIMM with acceleration buffer.</w:t>
      </w:r>
      <w:r>
        <w:t xml:space="preserve"> </w:t>
      </w:r>
      <w:r>
        <w:rPr>
          <w:i/>
          <w:iCs/>
        </w:rPr>
        <w:t xml:space="preserve">IEEE Micro</w:t>
      </w:r>
      <w:r>
        <w:t xml:space="preserve">. Vol. 42, pg. 20-30, 2022.</w:t>
      </w:r>
      <w:r>
        <w:t xml:space="preserve"> </w:t>
      </w:r>
      <w:r>
        <w:t xml:space="preserve">S. Ghose, A. Boroumand, J. S. Kim, J. Gomez-Luna, O. Mutlu. Processing-in-memory: A workload-driven perspective.</w:t>
      </w:r>
      <w:r>
        <w:t xml:space="preserve"> </w:t>
      </w:r>
      <w:r>
        <w:rPr>
          <w:i/>
          <w:iCs/>
        </w:rPr>
        <w:t xml:space="preserve">IBM Journal of Research and Development</w:t>
      </w:r>
      <w:r>
        <w:t xml:space="preserve">. Vol. 63, pg. 3:1-3:19, 2019.</w:t>
      </w:r>
      <w:r>
        <w:t xml:space="preserve"> </w:t>
      </w:r>
      <w:r>
        <w:t xml:space="preserve">J. Ahn, S. Yoo, O. Mutlu, K. Choi. PIM-enabled instructions: A low-overhead, locality-aware processing-in-memory architecture.</w:t>
      </w:r>
      <w:r>
        <w:t xml:space="preserve"> </w:t>
      </w:r>
      <w:r>
        <w:rPr>
          <w:i/>
          <w:iCs/>
        </w:rPr>
        <w:t xml:space="preserve">Proceedings of the 42nd Annual International Symposium on Computer Architecture (ISCA ’15)</w:t>
      </w:r>
      <w:r>
        <w:t xml:space="preserve">. pg. 336-348, 2015.</w:t>
      </w:r>
      <w:r>
        <w:t xml:space="preserve"> </w:t>
      </w:r>
      <w:r>
        <w:t xml:space="preserve">J. Gomez-Luna, I. E. Hajj, I. Fernandez, C. Giannoula, G. F. Oliveira, O. Mutlu. Benchmarking a new paradigm: Experimental analysis and characterization of a real processing-in-memory system.</w:t>
      </w:r>
      <w:r>
        <w:t xml:space="preserve"> </w:t>
      </w:r>
      <w:r>
        <w:rPr>
          <w:i/>
          <w:iCs/>
        </w:rPr>
        <w:t xml:space="preserve">IEEE Access</w:t>
      </w:r>
      <w:r>
        <w:t xml:space="preserve">. Vol. 10, pg. 52565-52608, 2022.</w:t>
      </w:r>
      <w:r>
        <w:t xml:space="preserve"> </w:t>
      </w:r>
      <w:r>
        <w:t xml:space="preserve">T. Mann. Why did Nvidia really drop $20B on Groq?</w:t>
      </w:r>
      <w:r>
        <w:t xml:space="preserve"> </w:t>
      </w:r>
      <w:r>
        <w:rPr>
          <w:i/>
          <w:iCs/>
        </w:rPr>
        <w:t xml:space="preserve">The Register</w:t>
      </w:r>
      <w:r>
        <w:t xml:space="preserve">. December 31, 2025.</w:t>
      </w:r>
      <w:r>
        <w:t xml:space="preserve"> </w:t>
      </w:r>
      <w:r>
        <w:t xml:space="preserve">Cerebras Systems. CS-3: the WSE-3 wafer-scale engine. Vendor product documentation. 2025.</w:t>
      </w:r>
      <w:r>
        <w:t xml:space="preserve"> </w:t>
      </w:r>
      <w:r>
        <w:t xml:space="preserve">T. P. Morgan. Taalas etches AI models onto transistors to rocket-boost inference.</w:t>
      </w:r>
      <w:r>
        <w:t xml:space="preserve"> </w:t>
      </w:r>
      <w:r>
        <w:rPr>
          <w:i/>
          <w:iCs/>
        </w:rPr>
        <w:t xml:space="preserve">The Next Platform</w:t>
      </w:r>
      <w:r>
        <w:t xml:space="preserve">. February 19, 2026.</w:t>
      </w:r>
      <w:r>
        <w:t xml:space="preserve"> </w:t>
      </w:r>
      <w:r>
        <w:t xml:space="preserve">T. Mann. AMD acquires AI chip startup Taalas to boost inference performance by etching models into silicon.</w:t>
      </w:r>
      <w:r>
        <w:t xml:space="preserve"> </w:t>
      </w:r>
      <w:r>
        <w:rPr>
          <w:i/>
          <w:iCs/>
        </w:rPr>
        <w:t xml:space="preserve">The Register</w:t>
      </w:r>
      <w:r>
        <w:t xml:space="preserve">. August 6, 2026.</w:t>
      </w:r>
      <w:r>
        <w:t xml:space="preserve"> </w:t>
      </w:r>
      <w:r>
        <w:t xml:space="preserve">S. Ma, H. Wang, L. Ma, L. Wang, W. Wang, S. Huang, L. Dong, R. Wang, J. Xue, F. Wei. The era of 1-bit LLMs: all large language models are in 1.58 bits.</w:t>
      </w:r>
      <w:r>
        <w:t xml:space="preserve"> </w:t>
      </w:r>
      <w:r>
        <w:rPr>
          <w:i/>
          <w:iCs/>
        </w:rPr>
        <w:t xml:space="preserve">arXiv preprint</w:t>
      </w:r>
      <w:r>
        <w:t xml:space="preserve"> </w:t>
      </w:r>
      <w:r>
        <w:t xml:space="preserve">arXiv:2402.17764, 2024.</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74" Target="media/rId74.png" /><Relationship Type="http://schemas.openxmlformats.org/officeDocument/2006/relationships/image" Id="rId39" Target="media/rId39.png" /><Relationship Type="http://schemas.openxmlformats.org/officeDocument/2006/relationships/image" Id="rId67" Target="media/rId6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2026-10-21T07:50:32Z</dcterms:created>
  <dcterms:modified xsi:type="dcterms:W3CDTF">2026-10-21T07:50:32Z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 2026</vt:lpwstr>
  </property>
</Properties>
</file>