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3.png" ContentType="image/png"/>
  <Override PartName="/word/media/rId39.png" ContentType="image/png"/>
  <Override PartName="/word/media/rId6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RISC-V BMC/router chip handling topology discovery, workload dispatch, and host PCIe</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and cycle-exact closed-form latency on a 100 MHz behavioral co-simulation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RISC-V router-chip family, with matching Go and C firmware twins, the model compiler, PCB and assembly models, and a reproducible test suite in the companion repository</w:t>
      </w:r>
      <w:r>
        <w:t xml:space="preserve">.</w:t>
      </w:r>
    </w:p>
    <w:bookmarkEnd w:id="26"/>
    <w:bookmarkEnd w:id="27"/>
    <w:bookmarkStart w:id="62"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exclusively on the router chip,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PCIe into its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w:t>
      </w:r>
      <w:r>
        <w:t xml:space="preserve"> </w:t>
      </w:r>
      <m:oMath>
        <m:r>
          <m:t>0.3</m:t>
        </m:r>
      </m:oMath>
      <w:r>
        <w:t xml:space="preserve">–1 MB of weights—5–15</w:t>
      </w:r>
      <m:oMath>
        <m:r>
          <m:rPr>
            <m:sty m:val="p"/>
          </m:rPr>
          <m:t>×</m:t>
        </m:r>
      </m:oMath>
      <w:r>
        <w:t xml:space="preserve"> </w:t>
      </w:r>
      <w:r>
        <w:t xml:space="preserve">the router’s dedicated 64 KB gating SRAM (32K BF16 entries)—so learned-router sizing and its per-token evaluation latency are projections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w:t>
      </w:r>
    </w:p>
    <w:p>
      <w:pPr>
        <w:pStyle w:val="BodyText"/>
      </w:pPr>
      <w:r>
        <w:t xml:space="preserve">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8"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seL4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seL4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issuing 270 fabric dispatches per generated token at the sustained dispatch rates of Section</w:t>
      </w:r>
      <w:r>
        <w:t xml:space="preserve"> </w:t>
      </w:r>
      <w:hyperlink w:anchor="sec:2.8">
        <w:r>
          <w:rPr>
            <w:rStyle w:val="Hyperlink"/>
          </w:rPr>
          <w:t xml:space="preserve">2.8</w:t>
        </w:r>
      </w:hyperlink>
      <w:r>
        <w:t xml:space="preserve"> </w:t>
      </w:r>
      <w:r>
        <w:t xml:space="preserve">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C firmware port targets both deployment modes: bare-metal static allocation for deterministic boot-time behavior, and a NOMMU Linux userspace daemon for operational flexibility.</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five-stage RV32IMA design (Fetch through Writeback) with the M extension for single-cycle multiplication and Zicsr machine-mode CSRs; it implements ECALL, EBREAK, and MRET trap handling with a combinational fetch address for zero-cycle ROM access. Multi-cycle memory accesses use a two-phase address/ready handshake so timing is correct across all peripheral types, and the ALU is fully combinational with a dedicated operand multiplexer.</w:t>
      </w:r>
    </w:p>
    <w:p>
      <w:pPr>
        <w:pStyle w:val="BodyText"/>
      </w:pPr>
      <w:r>
        <w:t xml:space="preserve">The memory map partitions the 32-bit address space into five regions: boot ROM at 0x0000_0000 (64 KB), UART at 0x1000_0000, CLINT at 0x2000_0000, SRAM at 0x8000_0000 (64 KB), and the PNM router registers at 0xF000_0000. All peripherals use a valid/ready handshake on a shared bus with combinationally decoded slave selects.</w:t>
      </w:r>
    </w:p>
    <w:p>
      <w:pPr>
        <w:pStyle w:val="BodyText"/>
      </w:pPr>
      <w:r>
        <w:t xml:space="preserve">The RTL ships four SoC tiers sharing the CPU and bus fabric, so a deployment scales the management plane without changing firmware structure above the register layer. The BMC tier (bmc_orchestrator_top.v) is the five-region minimal map above. The MCU tier (orchestrator_mcu.v) drops the CLINT for pure bare-metal dispatch loops. The MoE SBC tier (orchestrator_sbc_moe.v) adds a 64 KB BF16 gating SRAM and the moe_gating unit so expert selection runs in silicon next to the dispatcher. The general SBC tier (orchestrator_sbc.v) is the full machine: SRAM at 0x4000_0000 sized by one synthesis-time parameter over a 500 KB–32 MB range (bare-metal dispatch loops at the bottom of the range; trimmed Linux tinyconfig or seL4 images at 1–4 MB; Linux plus CPython userland at 16 MB), a 1 GB LPDDR5 DRAM window at 0x8000_0000 whose behavioral controller models row-activate plus CAS latency as a programmable parameter, a PCIe Gen5 x16 endpoint at 0xC000_0000, an NVMe storage controller at 0xD000_0000, and the PNM window at 0xF000_0000. Each tier passes its own self-checking testbench (tb_bmc_orchestrator.v, tb_orchestrator_mcu.v, tb_orchestrator_sbc_moe.v, tb_orchestrator_sbc.v).</w:t>
      </w:r>
    </w:p>
    <w:p>
      <w:pPr>
        <w:pStyle w:val="BodyText"/>
      </w:pPr>
      <w:r>
        <w:t xml:space="preserve">Two of the SBC-tier blocks deserve specification because they change what the router chip can do unaided. The PCIe Gen5 x16 PHY (pcie_phy.v) terminates the host uplink of Section</w:t>
      </w:r>
      <w:r>
        <w:t xml:space="preserve"> </w:t>
      </w:r>
      <w:hyperlink w:anchor="sec:4.2">
        <w:r>
          <w:rPr>
            <w:rStyle w:val="Hyperlink"/>
          </w:rPr>
          <w:t xml:space="preserve">4.2</w:t>
        </w:r>
      </w:hyperlink>
      <w:r>
        <w:t xml:space="preserve"> </w:t>
      </w:r>
      <w:r>
        <w:t xml:space="preserve">in silicon rather than as a paper abstraction: an LTSSM walks Detect through L0, posted/completion headers stage through a completion FIFO whose pop is deferred one cycle to keep the ready/valid contract under spine backpressure (a ready/valid bug class the harness’s audit log documents fixing), and a loopback parameter drives link bring-up without a live host—verified by twelve self-checking scenarios in tb_pcie_phy.v. The NVMe storage controller (nvme_ctrl.v) attaches commodity M.2/U.2 SSDs behind a 64-deep command queue and 512-byte block engine, giving the router chip a persistence tier the fabric nodes deliberately lack: boot images and rootfs survive power cycles without re-streaming from the host, KV-cache offload spills to local flash instead of crossing the PCIe uplink, and the C firmware’s block driver (pnm_nvme.c) plus Lustre striping client (pnm_lustre.c) speak the same registers from userland or bare metal. The result is a management plane that boots standalone—POST, routing tables, weights—while every byte of compute state remains in the chassis’s commodity DRAM pools where Sections</w:t>
      </w:r>
      <w:r>
        <w:t xml:space="preserve"> </w:t>
      </w:r>
      <w:hyperlink w:anchor="sec:2.4">
        <w:r>
          <w:rPr>
            <w:rStyle w:val="Hyperlink"/>
          </w:rPr>
          <w:t xml:space="preserve">2.4</w:t>
        </w:r>
      </w:hyperlink>
      <w:r>
        <w:t xml:space="preserve"> </w:t>
      </w:r>
      <w:r>
        <w:t xml:space="preserve">and</w:t>
      </w:r>
      <w:r>
        <w:t xml:space="preserve"> </w:t>
      </w:r>
      <w:hyperlink w:anchor="sec:2.16">
        <w:r>
          <w:rPr>
            <w:rStyle w:val="Hyperlink"/>
          </w:rPr>
          <w:t xml:space="preserve">2.16</w:t>
        </w:r>
      </w:hyperlink>
      <w:r>
        <w:t xml:space="preserve"> </w:t>
      </w:r>
      <w:r>
        <w:t xml:space="preserve">place it.</w:t>
      </w:r>
    </w:p>
    <w:p>
      <w:pPr>
        <w:pStyle w:val="BodyText"/>
      </w:pPr>
      <w:r>
        <w:t xml:space="preserve">The PNM router engine is a simplified version of the orchestrator_chip.v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(tb_bmc_orchestrator.v)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higher selectors pass through as raw byte offsets into an extended window holding a DMA engine (target address, transfer word count, start/read/done control, and a FIFO data port).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58"/>
    <w:bookmarkStart w:id="59"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59"/>
    <w:bookmarkStart w:id="60"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0"/>
    <w:bookmarkStart w:id="61"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and a logit-peek window that returns any of the 128 expert logits, so the host reads the full routing decision back over the register interface rather than re-deriving it in software.</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1"/>
    <w:bookmarkEnd w:id="62"/>
    <w:bookmarkStart w:id="81"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5"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3"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3"/>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4"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4"/>
    <w:bookmarkEnd w:id="65"/>
    <w:bookmarkStart w:id="70"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69" w:name="fig:roofline"/>
    <w:p>
      <w:pPr>
        <w:pStyle w:val="CaptionedFigure"/>
      </w:pPr>
      <w:r>
        <w:drawing>
          <wp:inline>
            <wp:extent cx="5270436" cy="3092418"/>
            <wp:effectExtent b="0" l="0" r="0" t="0"/>
            <wp:docPr descr="" title="" id="67" name="Picture"/>
            <a:graphic>
              <a:graphicData uri="http://schemas.openxmlformats.org/drawingml/2006/picture">
                <pic:pic>
                  <pic:nvPicPr>
                    <pic:cNvPr descr="figures/fig_roofline.png" id="68" name="Picture"/>
                    <pic:cNvPicPr>
                      <a:picLocks noChangeArrowheads="1" noChangeAspect="1"/>
                    </pic:cNvPicPr>
                  </pic:nvPicPr>
                  <pic:blipFill>
                    <a:blip r:embed="rId66"/>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69"/>
    <w:bookmarkEnd w:id="70"/>
    <w:bookmarkStart w:id="71"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1"/>
    <w:bookmarkStart w:id="72"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2"/>
    <w:bookmarkStart w:id="77"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6" w:name="fig:latency"/>
    <w:p>
      <w:pPr>
        <w:pStyle w:val="CaptionedFigure"/>
      </w:pPr>
      <w:r>
        <w:drawing>
          <wp:inline>
            <wp:extent cx="5178536" cy="2660490"/>
            <wp:effectExtent b="0" l="0" r="0" t="0"/>
            <wp:docPr descr="" title="" id="74" name="Picture"/>
            <a:graphic>
              <a:graphicData uri="http://schemas.openxmlformats.org/drawingml/2006/picture">
                <pic:pic>
                  <pic:nvPicPr>
                    <pic:cNvPr descr="figures/fig_latency.png" id="75" name="Picture"/>
                    <pic:cNvPicPr>
                      <a:picLocks noChangeArrowheads="1" noChangeAspect="1"/>
                    </pic:cNvPicPr>
                  </pic:nvPicPr>
                  <pic:blipFill>
                    <a:blip r:embed="rId73"/>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6"/>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real decoder block (attention, KV, dense MLP, top-2 MoE) reproduces the checkpoint’s layer-0 output word for word against a BF16 reference, and the gating ASIC’s top-1 decision dispatched as one fabric flit lands on the node and matches the software BF16 twin—so the router, the fabric, and the compute ASIC are verified as one composed pipeline rather than three separate pieces.</w:t>
      </w:r>
    </w:p>
    <w:bookmarkEnd w:id="77"/>
    <w:bookmarkStart w:id="79"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8"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8"/>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Gen5 x16 host uplinks through its integrated PHY (Section</w:t>
      </w:r>
      <w:r>
        <w:t xml:space="preserve"> </w:t>
      </w:r>
      <w:hyperlink w:anchor="sec:4.2">
        <w:r>
          <w:rPr>
            <w:rStyle w:val="Hyperlink"/>
          </w:rPr>
          <w:t xml:space="preserve">4.2</w:t>
        </w:r>
      </w:hyperlink>
      <w:r>
        <w:t xml:space="preserve">), performs POST discovery, evaluates MoE gating networks, attaches NVMe storage for its own persistence tier, and dispatches tokens into the fabric. The router die is smaller than the compute die (no MAC array, no 192-bit LPDDR6 PHY; its DRAM interface is a single LPDDR5-class controller window sized in hundreds of megabytes),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79"/>
    <w:bookmarkStart w:id="80"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0"/>
    <w:bookmarkEnd w:id="81"/>
    <w:bookmarkStart w:id="88" w:name="sec:discussion"/>
    <w:p>
      <w:pPr>
        <w:pStyle w:val="Heading1"/>
      </w:pPr>
      <w:r>
        <w:t xml:space="preserve">Discussion</w:t>
      </w:r>
    </w:p>
    <w:bookmarkStart w:id="82"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2"/>
    <w:bookmarkStart w:id="83"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on-router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and remains well below the</w:t>
      </w:r>
      <w:r>
        <w:t xml:space="preserve"> </w:t>
      </w:r>
      <m:oMath>
        <m:r>
          <m:rPr>
            <m:sty m:val="p"/>
          </m:rPr>
          <m:t>≈</m:t>
        </m:r>
      </m:oMath>
      <w:r>
        <w:t xml:space="preserve">128 GB/s uplink.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3"/>
    <w:bookmarkStart w:id="84"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4"/>
    <w:bookmarkStart w:id="85"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RV32 router core map to technology-independent cells (23 to 3,519 cells for the routing and compute blocks, 16,330 for the core,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would need roughly 0.3–1 MB of projector weights—5–15</w:t>
      </w:r>
      <m:oMath>
        <m:r>
          <m:rPr>
            <m:sty m:val="p"/>
          </m:rPr>
          <m:t>×</m:t>
        </m:r>
      </m:oMath>
      <w:r>
        <w:t xml:space="preserve"> </w:t>
      </w:r>
      <w:r>
        <w:t xml:space="preserve">the 64 KB gating SRAM—so the router sizing and gating evaluation are likewise projections.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(Section</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5"/>
    <w:bookmarkStart w:id="86"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6"/>
    <w:bookmarkStart w:id="87" w:name="sec:4.6"/>
    <w:p>
      <w:pPr>
        <w:pStyle w:val="Heading2"/>
      </w:pPr>
      <w:r>
        <w:t xml:space="preserve">4.6 Design-for-test and manufacturing readiness</w:t>
      </w:r>
    </w:p>
    <w:p>
      <w:pPr>
        <w:pStyle w:val="FirstParagraph"/>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7"/>
    <w:bookmarkEnd w:id="88"/>
    <w:bookmarkStart w:id="89"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compatible with Linux and seL4, handling topology discovery, workload dispatch, and host PCIe on a single socketed, cold-swappable die.</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89"/>
    <w:bookmarkStart w:id="90"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2026-10-20T21:37:03Z</dcterms:created>
  <dcterms:modified xsi:type="dcterms:W3CDTF">2026-10-20T21:37:03Z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