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linked by a shared dispatch-plan wire format,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two phases that program the machine – the routing table and the gating state – are machine-checked against each other in the firmware’s two implementations (Section</w:t>
      </w:r>
      <w:r>
        <w:t xml:space="preserve"> </w:t>
      </w:r>
      <w:hyperlink w:anchor="sec:3.5">
        <w:r>
          <w:rPr>
            <w:rStyle w:val="Hyperlink"/>
          </w:rPr>
          <w:t xml:space="preserve">3.5</w:t>
        </w:r>
      </w:hyperlink>
      <w:r>
        <w:t xml:space="preserve">).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it executes the host-compiled dispatch plan rather than re-planning it. The per-token plan crosses the host-to-device boundary as a fixed-width binary wire format whose layout is a shared definition on both sides (32-byte records carrying the layer, phase, compute-unit type, destination coordinates, KV action, expert index, flit length, flash-attention tiles, sliding-window bounds, and grouped-query metadata); the C side decodes and validates it, and a byte-equality test pins the Go encoder and the C decode-and-re-encode round trip together, so the two sides cannot silently disagree on what a dispatch means. No planner runs on the device, and the code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host fills in the concrete coordinates per token via the expert map and ships the completed plan to the bridge (Section</w:t>
      </w:r>
      <w:r>
        <w:t xml:space="preserve"> </w:t>
      </w:r>
      <w:hyperlink w:anchor="sec:2.6">
        <w:r>
          <w:rPr>
            <w:rStyle w:val="Hyperlink"/>
          </w:rPr>
          <w:t xml:space="preserve">2.6</w:t>
        </w:r>
      </w:hyperlink>
      <w:r>
        <w:t xml:space="preserve">, Layer 4), but the schedule guarantees that any legal mapping satisfies the buffer credits. For stencil workloads, the schedule is fully static: halo exchanges, compute phases, and result writes are all pre-timed.</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accepts the router weights the host streams to the board during machine programming and programs them into the gating ASIC as they arrive—the node never holds a whole router, so a few kilobytes of microcontroller RAM can program a 700 KB one—then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A fabric-side read channel answers the host’s register reads—the decision’s rank window, the logit peek window, the status—so a mode-B manager reads the decision over the fabric rather than from the chip’s local output wires.</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requires the same decision, and reads that decision back over the fabric-side channel mode B’s manager uses.</w:t>
      </w:r>
    </w:p>
    <w:p>
      <w:pPr>
        <w:pStyle w:val="BodyText"/>
      </w:pPr>
      <w:r>
        <w:t xml:space="preserve">The difference is in what crosses the fabric per token, not at setup. At setup both modes move the same 0.7 MB of router weights: in mode A the host streams them to the node board, whose management node programs them into the ASIC as they arrive; in mode B the host streams them to the ASIC’s fabric-side receiver. What differs is the per-token traffic. In mode A each token’s decision is a local register read, so no per-token management traffic crosses the fabric at all. In mode B the host must push each token’s 5.6 KB hidden vector in per layer, with the decision returned over the fabric.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p>
      <w:pPr>
        <w:pStyle w:val="BodyText"/>
      </w:pPr>
      <w:r>
        <w:t xml:space="preserve">One structural fact bounds both modes, and it is a property of the fabric rather than of the manager. The fabric is a tree whose only router is the root: a node’s message travels up the spine and is re-issued downward from the top. A dispatch therefore reaches the expert node either through the host, which reads the decision and injects the dispatch (mode B), or through a root-side router that consumes the decision directly and injects the dispatch without the host (the mode-A path). The *decision* is what mode A keeps local; the dispatch itself still crosses the fabric, because the expert’s weights are what the dispatch is for. The end-to-end path—host to the management node, the gating engine, the dispatch, the expert, and the result back—is machine-checked as one composed system.</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The chained composition runs in the always-on suite on a deterministic synthetic Gemma-4-shaped fixture—the same fused tensor layouts and BF16 rounding regime, a different stimulus—and on the real checkpoint weights when they are present, so the default co-simulation of Section</w:t>
      </w:r>
      <w:r>
        <w:t xml:space="preserve"> </w:t>
      </w:r>
      <w:hyperlink w:anchor="sec:3.5">
        <w:r>
          <w:rPr>
            <w:rStyle w:val="Hyperlink"/>
          </w:rPr>
          <w:t xml:space="preserve">3.5</w:t>
        </w:r>
      </w:hyperlink>
      <w:r>
        <w:t xml:space="preserve"> </w:t>
      </w:r>
      <w:r>
        <w:t xml:space="preserve">checks the claim with no external download. Closing the loop, feeding the RTL router’s logits into the engine in place of the software matvec reproduces the software-only inference token for token—so the hardware gating decision changes no output—which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 The chained form of that composition (Section</w:t>
      </w:r>
      <w:r>
        <w:t xml:space="preserve"> </w:t>
      </w:r>
      <w:hyperlink w:anchor="sec:2.20">
        <w:r>
          <w:rPr>
            <w:rStyle w:val="Hyperlink"/>
          </w:rPr>
          <w:t xml:space="preserve">2.20</w:t>
        </w:r>
      </w:hyperlink>
      <w:r>
        <w:t xml:space="preserve">) additionally runs in the always-on suite on the synthetic fixture, so the three-stage pipeline is checked by the default test run as well as by the real-weight run.</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2026-10-22T06:53:49Z</dcterms:created>
  <dcterms:modified xsi:type="dcterms:W3CDTF">2026-10-22T06:53:49Z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