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the CRC-16/CCITT-FALSE, the coordinate mapping, and the gating datapath are all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routing-table and MoE-map SRAMs, the flit-builder command registers (destination, length, payload byte, trigger), the status and counter registers, and the result byte. A host-side DMA path lets the weight blobs and the stencil domain move without the host copying every byte through the register window, using the behavioral LPCAMM2/LPDDR6 module model (lpddr6_camm.v) for the node-local side.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w:t>
      </w:r>
    </w:p>
    <w:p>
      <w:pPr>
        <w:pStyle w:val="BodyText"/>
      </w:pPr>
      <w:r>
        <w:t xml:space="preserve">In mode B the host owns the whole machine. The host’s gating programming is streamed over the fabric to the gating ASIC, whose fabric-side receiver decodes it into the same register map the embedded node uses, and the decision is read back over the fabric.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entirely in what crosses the fabric. In mode A, only the initial programming crosses: the learned router is 128 experts by 2,816 hidden dimensions, roughly 0.3–1 MB of BF16 per layer (Section</w:t>
      </w:r>
      <w:r>
        <w:t xml:space="preserve"> </w:t>
      </w:r>
      <w:hyperlink w:anchor="sec:2.5">
        <w:r>
          <w:rPr>
            <w:rStyle w:val="Hyperlink"/>
          </w:rPr>
          <w:t xml:space="preserve">2.5</w:t>
        </w:r>
      </w:hyperlink>
      <w:r>
        <w:t xml:space="preserve">, Phase 4), uploaded once at machine setup. In mode B, every one of those bytes crosses per layer, and then every token’s decision crosses back: 256 bytes of logits, or 8 bytes if the host takes only the top-</w:t>
      </w:r>
      <m:oMath>
        <m:r>
          <m:t>k</m:t>
        </m:r>
      </m:oMath>
      <w:r>
        <w:t xml:space="preserve"> </w:t>
      </w:r>
      <w:r>
        <w:t xml:space="preserve">identifiers, per token per layer, in addition to the token’s own data path. At the reference model’s 270 dispatches per token (Section</w:t>
      </w:r>
      <w:r>
        <w:t xml:space="preserve"> </w:t>
      </w:r>
      <w:hyperlink w:anchor="sec:2.1">
        <w:r>
          <w:rPr>
            <w:rStyle w:val="Hyperlink"/>
          </w:rPr>
          <w:t xml:space="preserve">2.1</w:t>
        </w:r>
      </w:hyperlink>
      <w:r>
        <w:t xml:space="preserve">) and 30 layers, that is a per-token management tax proportional to the number of layers, paid on the same fabric that is already the capacity bottleneck. Mode A removes it, which is the point of putting the management node on the node board rather than at the spine root.</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POST discovery, evaluates MoE gating networks, and dispatches tokens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targeting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2026-10-21T04:45:00Z</dcterms:created>
  <dcterms:modified xsi:type="dcterms:W3CDTF">2026-10-21T04:45:00Z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