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9"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 and the advanced lithography behind HBM stacks suffers low yields and extreme power density that no market correction can resolve</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 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0.6 MW for capacity-equivalent HBM—managed by one socketed RISC-V BMC/router chip handling topology discovery, workload dispatch, and host PCIe</w:t>
      </w:r>
      <w:r>
        <w:t xml:space="preserve">. The result is bit-exact-reproducible computation with provable deadlock freedom, compile-time latency bounds, and a fraction of the thermal envelope, interposer dependency, and manufacturing complexity of monolithic GPU accelerators.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9"/>
    <w:bookmarkStart w:id="14" w:name="sec:introduction"/>
    <w:p>
      <w:pPr>
        <w:pStyle w:val="Heading1"/>
      </w:pPr>
      <w:r>
        <w:t xml:space="preserve">Introduction</w:t>
      </w:r>
    </w:p>
    <w:bookmarkStart w:id="10"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 Second, HBM manufacturing requires extreme ultraviolet (EUV) lithography, which suffers from low yields, high wafer costs, and severe supply constraints</w:t>
      </w:r>
      <w:r>
        <w:t xml:space="preserve">. 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0.6 MW and 819 GPUs for capacity-equivalent HBM.</w:t>
      </w:r>
    </w:p>
    <w:bookmarkEnd w:id="10"/>
    <w:bookmarkStart w:id="11"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There are no runtime page tables, no dynamic branch prediction, no cache coherency protocols, and no global mutable state anywhere in the system.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11"/>
    <w:bookmarkStart w:id="12"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12"/>
    <w:bookmarkStart w:id="13"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13"/>
    <w:bookmarkEnd w:id="14"/>
    <w:bookmarkStart w:id="37" w:name="sec:methods"/>
    <w:p>
      <w:pPr>
        <w:pStyle w:val="Heading1"/>
      </w:pPr>
      <w:r>
        <w:t xml:space="preserve">Methods</w:t>
      </w:r>
    </w:p>
    <w:bookmarkStart w:id="15"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at</w:t>
      </w:r>
      <w:r>
        <w:t xml:space="preserve"> </w:t>
      </w:r>
      <m:oMath>
        <m:r>
          <m:rPr>
            <m:sty m:val="p"/>
          </m:rPr>
          <m:t>≈</m:t>
        </m:r>
      </m:oMath>
      <w:r>
        <w:t xml:space="preserve">2 TB/s per direction (</w:t>
      </w:r>
      <m:oMath>
        <m:r>
          <m:rPr>
            <m:sty m:val="p"/>
          </m:rPr>
          <m:t>≈</m:t>
        </m:r>
      </m:oMath>
      <w:r>
        <w:t xml:space="preserve">128 parallel 16 GB/s lanes), which sustains</w:t>
      </w:r>
      <w:r>
        <w:t xml:space="preserve"> </w:t>
      </w:r>
      <m:oMath>
        <m:r>
          <m:rPr>
            <m:sty m:val="p"/>
          </m:rPr>
          <m:t>≈</m:t>
        </m:r>
      </m:oMath>
      <w:r>
        <w:t xml:space="preserve">3</w:t>
      </w:r>
      <m:oMath>
        <m:r>
          <m:rPr>
            <m:sty m:val="p"/>
          </m:rPr>
          <m:t>×</m:t>
        </m:r>
        <m:sSup>
          <m:e>
            <m:r>
              <m:t>10</m:t>
            </m:r>
          </m:e>
          <m:sup>
            <m:r>
              <m:t>8</m:t>
            </m:r>
          </m:sup>
        </m:sSup>
      </m:oMath>
      <w:r>
        <w:t xml:space="preserve"> </w:t>
      </w:r>
      <w:r>
        <w:t xml:space="preserve">tokens/s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tokens/s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15"/>
    <w:bookmarkStart w:id="16"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a 128-bit-wide source-synchronous channel at 1 GHz, providing</w:t>
      </w:r>
      <w:r>
        <w:t xml:space="preserve"> </w:t>
      </w:r>
      <m:oMath>
        <m:r>
          <m:rPr>
            <m:sty m:val="p"/>
          </m:rPr>
          <m:t>≈</m:t>
        </m:r>
      </m:oMath>
      <w:r>
        <w:t xml:space="preserve">16 GB/s per link. The HDL sketch and the co-simulation harness model the byte-oriented flit stream at one byte per cycle; because a 128-bit physical link moves sixteen bytes per cycle, the byte-serial model understates per-link bandwidth by 16</w:t>
      </w:r>
      <m:oMath>
        <m:r>
          <m:rPr>
            <m:sty m:val="p"/>
          </m:rPr>
          <m:t>×</m:t>
        </m:r>
      </m:oMath>
      <w:r>
        <w:t xml:space="preserve"> </w:t>
      </w:r>
      <w:r>
        <w:t xml:space="preserve">and is therefore conservative, while preserving the routing-decision logic that is the point of the model.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bookmarkEnd w:id="16"/>
    <w:bookmarkStart w:id="17"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17"/>
    <w:bookmarkStart w:id="18"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18"/>
    <w:bookmarkStart w:id="19"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Each entry is an 11-bit routing bitmap: bits [10:7] hold the 4-bit Layer ID (1-based), bit [6] selects the AXIS (0 = X, 1 = Y), bit [5] selects the SIGN (0 = +, 1 =</w:t>
      </w:r>
      <w:r>
        <w:t xml:space="preserve"> </w:t>
      </w:r>
      <m:oMath>
        <m:r>
          <m:rPr>
            <m:sty m:val="p"/>
          </m:rPr>
          <m:t>−</m:t>
        </m:r>
      </m:oMath>
      <w:r>
        <w:t xml:space="preserve">), and bits [4:0] hold the hop distance from the lxy_repeater.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LEN_HI | LEN_LO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under ten minutes at uplink line rate; the reference design also supports per-node boot flash on the sideband header (roughly two minutes through 512 parallel streams).</w:t>
      </w:r>
    </w:p>
    <w:p>
      <w:pPr>
        <w:pStyle w:val="BodyText"/>
      </w:pPr>
      <w:r>
        <w:t xml:space="preserve">Phase 4: MOE_LOAD. The router loads the MoE gating network weights into its own SRAM. These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not distributed to compute nodes: the gating network lives exclusively on the router chip, which evaluates it at runtime to determine which expert handles each token. The gating weights are small (</w:t>
      </w:r>
      <m:oMath>
        <m:r>
          <m:rPr>
            <m:sty m:val="p"/>
          </m:rPr>
          <m:t>≈</m:t>
        </m:r>
      </m:oMath>
      <w:r>
        <w:t xml:space="preserve">1 MB for a 128-expert model) and fit comfortably in the router’s on-chip SRAM. In the co-simulation, this phase records the weights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bitmaps at 6 bytes each via sideband), weight upload in</w:t>
      </w:r>
      <w:r>
        <w:t xml:space="preserve"> </w:t>
      </w:r>
      <m:oMath>
        <m:r>
          <m:rPr>
            <m:sty m:val="p"/>
          </m:rPr>
          <m:t>&lt;</m:t>
        </m:r>
      </m:oMath>
      <w:r>
        <w:t xml:space="preserve">10 min (64 TB at uplink line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19"/>
    <w:bookmarkStart w:id="20"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f64.mul, f64.fma, f64.div, f64.min, f64.max, f64.cmp, f64.mov, and f64.const. The FP32 ALU domain (HLSL) provides: alu.load, alu.store,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least-recently-used eviction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such as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20"/>
    <w:bookmarkStart w:id="21"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 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single expert’s weights at BF16 for a 70B-class model occupy on the order of 70–80 GB, fitting one node with headroom for KV cache and activation buffers.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 The KV budget per node is 80% of the 128 GB capacity, capped at 16,384 entries (a 16K context window). If the budget is exhausted, the firmware evicts the least-recently-used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w:t>
      </w:r>
    </w:p>
    <w:p>
      <w:pPr>
        <w:pStyle w:val="BodyText"/>
      </w:pPr>
      <w:r>
        <w:t xml:space="preserve">The compilation model has a second, less obvious consequence: because every weight is statically assigned to a fixed coordinate, and every route is a deterministic function of that coordinate, the compiler can reason about the entire machine’s state at compile time. There are no runtime page faults, no TLB misses, no cache coherence invalidations, and no operating-system context switches. The weight loading phase (Section</w:t>
      </w:r>
      <w:r>
        <w:t xml:space="preserve"> </w:t>
      </w:r>
      <w:hyperlink w:anchor="sec:2.5">
        <w:r>
          <w:rPr>
            <w:rStyle w:val="Hyperlink"/>
          </w:rPr>
          <w:t xml:space="preserve">2.5</w:t>
        </w:r>
      </w:hyperlink>
      <w:r>
        <w:t xml:space="preserve">) is a one-time DMA burst that fills each node’s LPDDR6 bank; once loaded, weights never move. When a token arrives at a node, the doorbell fires, the MAC reads weights from the local bank at the full 256 GB/s bus rate, and the result is returned. The compiler has already verified that the weight dimensions fit the node, that the route is valid, that the latency budget is sufficient, and that no buffer will overflow. The hardware merely executes what the compiler proved correct.</w:t>
      </w:r>
    </w:p>
    <w:p>
      <w:pPr>
        <w:pStyle w:val="BodyText"/>
      </w:pPr>
      <w:r>
        <w:t xml:space="preserve">The source-language front ends (Section</w:t>
      </w:r>
      <w:r>
        <w:t xml:space="preserve"> </w:t>
      </w:r>
      <w:hyperlink w:anchor="sec:2.6">
        <w:r>
          <w:rPr>
            <w:rStyle w:val="Hyperlink"/>
          </w:rPr>
          <w:t xml:space="preserve">2.6</w:t>
        </w:r>
      </w:hyperlink>
      <w:r>
        <w:t xml:space="preserve">) feed into this pipeline: the R and Haskell compilers emit FP64 IR that the kernel mapper assigns to fp64_fma units, while the HLSL compiler emits FP32 ALU IR that the mapper assigns to fp32_alu units. The mapper also handles BF16 and FP16 FMA operations for transformer inference (Section</w:t>
      </w:r>
      <w:r>
        <w:t xml:space="preserve"> </w:t>
      </w:r>
      <w:hyperlink w:anchor="sec:2.12">
        <w:r>
          <w:rPr>
            <w:rStyle w:val="Hyperlink"/>
          </w:rPr>
          <w:t xml:space="preserve">2.12</w:t>
        </w:r>
      </w:hyperlink>
      <w:r>
        <w:t xml:space="preserve">), INT8 MAC operations for quantized inference, and systolic array operations for attention QKV projections. The kernel set is deliberately small and fixed: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compiler’s kernel mapping is a many-to-one function—many tensor operations map to the same kernel type, differing only in their weight dimensions—and the hardware executes them all identically.</w:t>
      </w:r>
    </w:p>
    <w:bookmarkEnd w:id="21"/>
    <w:bookmarkStart w:id="22"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11-bit routing bitmaps for every node (bits [10:7] hold the 1-based Layer ID shifted left by 7, bits [4:0] hold the Y-distance from the lxy_repeater),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tokens/s depending on expert placement—comparable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22"/>
    <w:bookmarkStart w:id="23"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23"/>
    <w:bookmarkStart w:id="24" w:name="sec:2.10"/>
    <w:p>
      <w:pPr>
        <w:pStyle w:val="Heading2"/>
      </w:pPr>
      <w:r>
        <w:t xml:space="preserve">2.10 Reliability and determinism</w:t>
      </w:r>
    </w:p>
    <w:p>
      <w:pPr>
        <w:pStyle w:val="FirstParagraph"/>
      </w:pPr>
      <w:r>
        <w:t xml:space="preserve">LPDDR6 provides on-die ECC; the MAC ASIC’s memory controller adds conventional SECDED on the bus. Every fabric link carries a link-local CRC per flit that covers the full flit including its routing header bytes, so a bit error that would corrupt a route decision is detected before the consuming gate strips its header byte; a corrupt flit is discarded at the boundary rather than misrouted. Every message additionally carries an end-to-end CRC per message over the protected body—[CTRL, DEST, LEN, payload]—and the destination DMA refuses the doorbell unless the protected destination matches its own coordinate (Section</w:t>
      </w:r>
      <w:r>
        <w:t xml:space="preserve"> </w:t>
      </w:r>
      <w:hyperlink w:anchor="sec:2.9">
        <w:r>
          <w:rPr>
            <w:rStyle w:val="Hyperlink"/>
          </w:rPr>
          <w:t xml:space="preserve">2.9</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24"/>
    <w:bookmarkStart w:id="27" w:name="sec:2.11"/>
    <w:p>
      <w:pPr>
        <w:pStyle w:val="Heading2"/>
      </w:pPr>
      <w:r>
        <w:t xml:space="preserve">2.11 Target Workloads</w:t>
      </w:r>
    </w:p>
    <w:bookmarkStart w:id="25"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25"/>
    <w:bookmarkStart w:id="26" w:name="sec:2.11.2"/>
    <w:p>
      <w:pPr>
        <w:pStyle w:val="Heading3"/>
      </w:pPr>
      <w:r>
        <w:t xml:space="preserve">2.11.2 Routing designs by use case</w:t>
      </w:r>
    </w:p>
    <w:p>
      <w:pPr>
        <w:pStyle w:val="FirstParagraph"/>
      </w:pPr>
      <w:r>
        <w:t xml:space="preserve">The fabric supports four routing patterns, selected by the AOT compiler based on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two X-hops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26"/>
    <w:bookmarkEnd w:id="27"/>
    <w:bookmarkStart w:id="28"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The KV cache is distributed across the attention nodes: on every node that holds attention Q tensors, the compiler reserves 80% of the 128 GB capacity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28"/>
    <w:bookmarkStart w:id="29"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29"/>
    <w:bookmarkStart w:id="30"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30"/>
    <w:bookmarkStart w:id="31"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 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 Additional testbenches verify every compute unit type in isolation: FP16, BF16, FP32, and FP64 FMA modules (3-cycle pipeline, bit-exact golden-model checks), the FP32 ALU (restoring binary long division, MIN/MAX/CMP, and FMA-path operations), the INT8 MAC (single-cycle multiply-accumulate), the BF16 and FP16 systolic MAC arrays (weight loading, burst activation, zero-weight identity), the MoE gating unit (softmax top-k selection), and the router chip (POST discovery, routing-table load, weight upload, MoE map load, and inference dispatch). 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 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31"/>
    <w:bookmarkStart w:id="32"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router uplinks in under ten minutes as a long, purely sequential write burst per node—the controller’s easiest workload.</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bookmarkEnd w:id="32"/>
    <w:bookmarkStart w:id="34"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Redox OS compatibility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Redox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MoE gating evaluation at</w:t>
      </w:r>
      <w:r>
        <w:t xml:space="preserve"> </w:t>
      </w:r>
      <m:oMath>
        <m:sSup>
          <m:e>
            <m:r>
              <m:t>10</m:t>
            </m:r>
          </m:e>
          <m:sup>
            <m:r>
              <m:t>8</m:t>
            </m:r>
          </m:sup>
        </m:sSup>
      </m:oMath>
      <w:r>
        <w:t xml:space="preserve">–</w:t>
      </w:r>
      <m:oMath>
        <m:sSup>
          <m:e>
            <m:r>
              <m:t>10</m:t>
            </m:r>
          </m:e>
          <m:sup>
            <m:r>
              <m:t>9</m:t>
            </m:r>
          </m:sup>
        </m:sSup>
      </m:oMath>
      <w:r>
        <w:t xml:space="preserve"> </w:t>
      </w:r>
      <w:r>
        <w:t xml:space="preserve">tokens/s (Section</w:t>
      </w:r>
      <w:r>
        <w:t xml:space="preserve"> </w:t>
      </w:r>
      <w:hyperlink w:anchor="sec:2.12">
        <w:r>
          <w:rPr>
            <w:rStyle w:val="Hyperlink"/>
          </w:rPr>
          <w:t xml:space="preserve">2.12</w:t>
        </w:r>
      </w:hyperlink>
      <w:r>
        <w:t xml:space="preserve">) 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bookmarkStart w:id="33" w:name="sec:2.17.1"/>
    <w:p>
      <w:pPr>
        <w:pStyle w:val="Heading3"/>
      </w:pPr>
      <w:r>
        <w:t xml:space="preserve">2.17.1 Main thread placement: the router chip hosts transpiler orchestration</w:t>
      </w:r>
    </w:p>
    <w:p>
      <w:pPr>
        <w:pStyle w:val="FirstParagraph"/>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5-stage finite-state-machine design (Fetch, Decode, Execute, Memory, Writeback) supporting the RV32I base integer instruction set, the M extension for single-cycle multiplication, and the Zicsr extension for machine-mode control and status registers. The core implements ECALL, EBREAK, and MRET for trap handling, and provides a combinational fetch address output for zero-cycle ROM access. Multi-cycle memory operations use a two-phase handshake: cycle 1 presents the address and write data, cycle 2+ waits for bus-ready, ensuring correct timing across all peripheral types. The ALU is fully combinational, driven by a dedicated input multiplexer that selects operands based on the decoded instruction, avoiding mixing blocking and non-blocking assignments in the sequential datapath.</w:t>
      </w:r>
    </w:p>
    <w:p>
      <w:pPr>
        <w:pStyle w:val="BodyText"/>
      </w:pPr>
      <w:r>
        <w:t xml:space="preserve">The memory map partitions the 32-bit address space into five regions: Boot ROM at 0x0000_0000 (64 KB, combinational read for zero-penalty fetch), UART at 0x1000_0000 (16550-compatible, 8N1, configurable baud), CLINT at 0x2000_0000 (machine-mode timer with software interrupt), SRAM at 0x8000_0000 (64 KB, byte-enable write), and PNM router registers at 0xF000_0000 (control, layer/module/length/data registers, status, error counters, dispatch and weight-flit counters). All peripherals use a valid/ready handshake on a shared bus; slave selects are decoded combinationally from the bus address, and read data is multiplexed to the CPU.</w:t>
      </w:r>
    </w:p>
    <w:p>
      <w:pPr>
        <w:pStyle w:val="BodyText"/>
      </w:pPr>
      <w:r>
        <w:t xml:space="preserve">The PNM router engine is a simplified version of the router_chip.v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(tb_bmc_router.v)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and higher selectors pass through as raw byte offsets into an extended window holding a DMA engine: target address at 0x40, transfer word count at 0x44, control (start-write, start-read, done) at 0x48, and a FIFO data port at 0x4C.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33"/>
    <w:bookmarkEnd w:id="34"/>
    <w:bookmarkStart w:id="35"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35"/>
    <w:bookmarkStart w:id="36"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36"/>
    <w:bookmarkEnd w:id="37"/>
    <w:bookmarkStart w:id="46"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39"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versus the sub-50% yields typical of EUV-dependent parts.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bookmarkStart w:id="38"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repeater and node,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Because experts are placed round-robin-free—the map assigns each expert to exactly one node—a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38"/>
    <w:bookmarkEnd w:id="39"/>
    <w:bookmarkStart w:id="4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40"/>
    <w:bookmarkStart w:id="4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0.6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41"/>
    <w:bookmarkStart w:id="4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42"/>
    <w:bookmarkStart w:id="43"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18,268 | 450 | 0 | 11/141/559</w:t>
      </w:r>
      <w:r>
        <w:t xml:space="preserve"> </w:t>
      </w:r>
      <w:r>
        <w:t xml:space="preserve">hotspot | 380 | 20 | 151,619 | 380 | 0 | 25/2,880/8,279</w:t>
      </w:r>
      <w:r>
        <w:t xml:space="preserve"> </w:t>
      </w:r>
      <w:r>
        <w:t xml:space="preserve">stress | 1,091 | 61 | 170,798 | 1,062 | 29 | 12/539/8,263</w:t>
      </w:r>
      <w:r>
        <w:t xml:space="preserve"> </w:t>
      </w:r>
      <w:r>
        <w:t xml:space="preserve">replay | 276 | 24 | 41,192 | 270 | 6 | 12/472/8,251</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559-cycle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29 corrupt-CRC flits—the count matching the software twin’s refusals and the stub’s corrupt_out verdicts exactly—while the remaining 1,062 activations fire kernels whose results are byte-exact against the golden model. replay’s two runs produce 1.7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t>i</m:t>
        </m:r>
        <m:r>
          <m:t>m</m:t>
        </m:r>
        <m:r>
          <m:t>e</m:t>
        </m:r>
        <m:r>
          <m:t>s</m:t>
        </m:r>
      </m:oMath>
      <w:r>
        <w:t xml:space="preserve">8</w:t>
      </w:r>
      <m:oMath>
        <m:r>
          <m:t>i</m:t>
        </m:r>
        <m:r>
          <m:t>m</m:t>
        </m:r>
        <m:r>
          <m:t>e</m:t>
        </m:r>
        <m:r>
          <m:t>s</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load with 18,102 wire bytes at 11/160/607 cycles, hotspot at 40/2,901/8,311 cycles, stress refusing 83 corrupt messages with 2,743 byte-exact activations at 13/653/8,295 cycles, and replay reproducing all eight slices’ delivery logs bit-identically across two runs (1,623,751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43"/>
    <w:bookmarkStart w:id="44"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link-local CRC per flit</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host uplinks, performs POST discovery, evaluates MoE gating networks, and dispatches tokens into the fabric. The router die is smaller than the compute die (no MAC array, no LPDDR6 PHY), uses the same mature-node process,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eight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4a.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1–25 cycles | ALU (ADD/SUB/MUL/DIV/MIN/MAX/CMP) | Layer norm, softmax, activation functions</w:t>
      </w:r>
      <w:r>
        <w:t xml:space="preserve"> </w:t>
      </w:r>
      <w:r>
        <w:t xml:space="preserve">int8_mac | INT8 | 1 cycle | Multiply-Accumulate | Quantized inference, INT8 weight-stationary kernels</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25-cycle latency, alongside single-cycle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44"/>
    <w:bookmarkStart w:id="45"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45"/>
    <w:bookmarkEnd w:id="46"/>
    <w:bookmarkStart w:id="52" w:name="sec:discussion"/>
    <w:p>
      <w:pPr>
        <w:pStyle w:val="Heading1"/>
      </w:pPr>
      <w:r>
        <w:t xml:space="preserve">Discussion</w:t>
      </w:r>
    </w:p>
    <w:bookmarkStart w:id="47"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47"/>
    <w:bookmarkStart w:id="48"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at the dispatch rates of Section</w:t>
      </w:r>
      <w:r>
        <w:t xml:space="preserve"> </w:t>
      </w:r>
      <w:hyperlink w:anchor="sec:2.6">
        <w:r>
          <w:rPr>
            <w:rStyle w:val="Hyperlink"/>
          </w:rPr>
          <w:t xml:space="preserve">2.6</w:t>
        </w:r>
      </w:hyperlink>
      <w:r>
        <w:t xml:space="preserve">—well below uplink and spine capacity. The host never touches the compute fabric directly.</w:t>
      </w:r>
    </w:p>
    <w:bookmarkEnd w:id="48"/>
    <w:bookmarkStart w:id="49"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49"/>
    <w:bookmarkStart w:id="50"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50"/>
    <w:bookmarkStart w:id="51"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w:t>
      </w:r>
    </w:p>
    <w:p>
      <w:pPr>
        <w:pStyle w:val="BodyText"/>
      </w:pPr>
      <w:r>
        <w:t xml:space="preserve">Capacity-bound workloads have a memory profile that is the mirror image of training’s. Training is bandwidth-dominated: gradients and activations must move at the peak rate the silicon can consume.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token dispatches per second—one to two orders of magnitude above the</w:t>
      </w:r>
      <w:r>
        <w:t xml:space="preserve"> </w:t>
      </w:r>
      <m:oMath>
        <m:r>
          <m:rPr>
            <m:sty m:val="p"/>
          </m:rPr>
          <m:t>≈</m:t>
        </m:r>
      </m:oMath>
      <w:r>
        <w:t xml:space="preserve">10</w:t>
      </w:r>
      <m:oMath>
        <m:sSup>
          <m:e>
            <m:r>
              <m:t>​</m:t>
            </m:r>
          </m:e>
          <m:sup>
            <m:r>
              <m:t>7</m:t>
            </m:r>
          </m:sup>
        </m:sSup>
      </m:oMath>
      <w:r>
        <w:t xml:space="preserve"> </w:t>
      </w:r>
      <w:r>
        <w:t xml:space="preserve">tokens/s sustained by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51"/>
    <w:bookmarkEnd w:id="52"/>
    <w:bookmarkStart w:id="53"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w:t>
      </w:r>
      <w:r>
        <w:t xml:space="preserve">,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Redox, handling topology discovery, workload dispatch, and host PCIe on a single socketed, cold-swappable die. 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 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53"/>
    <w:bookmarkStart w:id="54"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