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e1e859b231421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Smoke Docx Utils</w:t>
      </w:r>
    </w:p>
    <w:p>
      <w:pPr>
        <w:jc w:val="center"/>
      </w:pPr>
      <w:r>
        <w:rPr>
          <w:i/>
          <w:sz w:val="24"/>
          <w:szCs w:val="24"/>
        </w:rPr>
        <w:t xml:space="preserve">Documento real gerado por docx-utils</w:t>
      </w:r>
    </w:p>
    <w:p>
      <w:pPr>
        <w:jc w:val="center"/>
      </w:pPr>
      <w:r>
        <w:rPr>
          <w:sz w:val="22"/>
          <w:szCs w:val="22"/>
        </w:rPr>
        <w:t xml:space="preserve">Smoke Runner</w:t>
      </w:r>
    </w:p>
    <w:p>
      <w:pPr>
        <w:jc w:val="both"/>
      </w:pPr>
      <w:r>
        <w:rPr>
          <w:sz w:val="24"/>
          <w:szCs w:val="24"/>
        </w:rPr>
        <w:t xml:space="preserve">Introducao</w:t>
      </w:r>
    </w:p>
    <w:p>
      <w:pPr>
        <w:jc w:val="both"/>
      </w:pPr>
      <w:r>
        <w:rPr>
          <w:sz w:val="24"/>
          <w:szCs w:val="24"/>
        </w:rPr>
        <w:t xml:space="preserve">Depois da introducao</w:t>
      </w:r>
    </w:p>
    <w:p>
      <w:pPr>
        <w:jc w:val="both"/>
      </w:pPr>
      <w:r>
        <w:rPr>
          <w:sz w:val="24"/>
          <w:szCs w:val="24"/>
        </w:rPr>
        <w:t xml:space="preserve">Antes dos blocos</w:t>
      </w:r>
    </w:p>
    <w:p>
      <w:pPr>
        <w:jc w:val="both"/>
      </w:pPr>
      <w:r>
        <w:rPr>
          <w:sz w:val="24"/>
          <w:szCs w:val="24"/>
        </w:rPr>
        <w:t xml:space="preserve">Texto antes</w:t>
      </w:r>
    </w:p>
    <w:p>
      <w:pPr>
        <w:jc w:val="both"/>
      </w:pPr>
      <w:r>
        <w:rPr>
          <w:sz w:val="24"/>
          <w:szCs w:val="24"/>
        </w:rPr>
        <w:t xml:space="preserve">Texto depois</w:t>
      </w:r>
    </w:p>
    <w:p>
      <w:pPr>
        <w:jc w:val="both"/>
      </w:pPr>
      <w:r>
        <w:rPr>
          <w:sz w:val="24"/>
          <w:szCs w:val="24"/>
        </w:rPr>
        <w:t xml:space="preserve">Abertura do intervalo.</w:t>
      </w:r>
    </w:p>
    <w:p>
      <w:pPr>
        <w:jc w:val="both"/>
      </w:pPr>
      <w:r>
        <w:rPr>
          <w:sz w:val="24"/>
          <w:szCs w:val="24"/>
        </w:rPr>
        <w:t xml:space="preserve">Paragrafo intermediario 1</w:t>
      </w:r>
    </w:p>
    <w:p>
      <w:pPr>
        <w:jc w:val="both"/>
      </w:pPr>
      <w:r>
        <w:rPr>
          <w:sz w:val="24"/>
          <w:szCs w:val="24"/>
        </w:rPr>
        <w:t xml:space="preserve">Paragrafo intermediario 2</w:t>
      </w:r>
    </w:p>
    <w:p>
      <w:pPr>
        <w:jc w:val="both"/>
      </w:pPr>
      <w:r>
        <w:rPr>
          <w:sz w:val="24"/>
          <w:szCs w:val="24"/>
        </w:rPr>
        <w:t xml:space="preserve">Fechamento do intervalo.</w:t>
      </w:r>
    </w:p>
    <w:p>
      <w:pPr>
        <w:jc w:val="both"/>
      </w:pPr>
      <w:r>
        <w:rPr>
          <w:sz w:val="24"/>
          <w:szCs w:val="24"/>
        </w:rPr>
        <w:t xml:space="preserve">Ancora tracked antes</w:t>
      </w:r>
    </w:p>
    <w:p>
      <w:pPr>
        <w:jc w:val="both"/>
      </w:pPr>
      <w:r>
        <w:rPr>
          <w:sz w:val="24"/>
          <w:szCs w:val="24"/>
        </w:rPr>
        <w:t xml:space="preserve">Ancora tracked depois</w:t>
      </w:r>
    </w:p>
    <w:p>
      <w:pPr>
        <w:jc w:val="both"/>
      </w:pPr>
      <w:r>
        <w:rPr>
          <w:sz w:val="24"/>
          <w:szCs w:val="24"/>
        </w:rPr>
        <w:t xml:space="preserve">Ancora da figura</w:t>
      </w:r>
    </w:p>
    <w:p>
      <w:pPr>
        <w:jc w:val="both"/>
      </w:pPr>
      <w:r>
        <w:rPr>
          <w:sz w:val="24"/>
          <w:szCs w:val="24"/>
        </w:rPr>
        <w:t xml:space="preserve">Depois da figura</w:t>
      </w:r>
    </w:p>
    <w:p>
      <w:pPr>
        <w:jc w:val="both"/>
      </w:pPr>
      <w:r>
        <w:rPr>
          <w:sz w:val="24"/>
          <w:szCs w:val="24"/>
        </w:rPr>
        <w:t xml:space="preserve">Comentario anchor original</w:t>
      </w:r>
    </w:p>
    <w:p>
      <w:pPr>
        <w:jc w:val="both"/>
      </w:pPr>
      <w:r>
        <w:rPr>
          <w:sz w:val="24"/>
          <w:szCs w:val="24"/>
        </w:rPr>
        <w:t xml:space="preserve">Comentario anchor novo</w:t>
      </w:r>
    </w:p>
    <w:p>
      <w:pPr>
        <w:jc w:val="both"/>
      </w:pPr>
      <w:r>
        <w:rPr>
          <w:sz w:val="24"/>
          <w:szCs w:val="24"/>
        </w:rPr>
        <w:t xml:space="preserve">Legenda Crossref</w:t>
      </w:r>
    </w:p>
    <w:p>
      <w:pPr>
        <w:jc w:val="both"/>
      </w:pPr>
      <w:r>
        <w:rPr>
          <w:sz w:val="24"/>
          <w:szCs w:val="24"/>
        </w:rPr>
        <w:t xml:space="preserve">Conforme Figura smoke.</w:t>
      </w:r>
    </w:p>
    <w:p>
      <w:pPr>
        <w:jc w:val="both"/>
      </w:pPr>
      <w:r>
        <w:rPr>
          <w:sz w:val="24"/>
          <w:szCs w:val="24"/>
        </w:rPr>
        <w:t xml:space="preserve">Formula linear alvo: a+b=c</w:t>
      </w:r>
    </w:p>
    <w:p>
      <w:pPr>
        <w:jc w:val="both"/>
      </w:pPr>
      <w:r>
        <w:rPr>
          <w:sz w:val="24"/>
          <w:szCs w:val="24"/>
        </w:rPr>
        <w:t xml:space="preserve">Formula alias alvo: m+n=p</w:t>
      </w:r>
    </w:p>
    <w:p>
      <w:pPr>
        <w:jc w:val="both"/>
      </w:pPr>
      <w:r>
        <w:rPr>
          <w:sz w:val="24"/>
          <w:szCs w:val="24"/>
        </w:rPr>
        <w:t xml:space="preserve">Ancora equacao reescrita</w:t>
      </w:r>
    </w:p>
    <w:p>
      <w:pPr>
        <w:jc w:val="both"/>
      </w:pPr>
      <w:r>
        <w:rPr>
          <w:sz w:val="24"/>
          <w:szCs w:val="24"/>
        </w:rPr>
        <w:t xml:space="preserve">Conclusao original</w:t>
      </w:r>
    </w:p>
    <w:p>
      <w:pPr>
        <w:jc w:val="both"/>
      </w:pPr>
      <w:r>
        <w:rPr>
          <w:b/>
          <w:sz w:val="24"/>
          <w:szCs w:val="24"/>
        </w:rPr>
        <w:t xml:space="preserve">Secao Smoke</w:t>
      </w:r>
    </w:p>
    <w:p>
      <w:pPr>
        <w:jc w:val="both"/>
      </w:pPr>
      <w:r>
        <w:rPr>
          <w:sz w:val="24"/>
          <w:szCs w:val="24"/>
        </w:rPr>
        <w:t xml:space="preserve">Texto da secao smoke.</w:t>
      </w:r>
    </w:p>
    <w:p>
      <w:pPr>
        <w:jc w:val="both"/>
      </w:pPr>
      <w:r>
        <w:rPr>
          <w:b/>
          <w:sz w:val="24"/>
          <w:szCs w:val="24"/>
        </w:rPr>
        <w:t xml:space="preserve">REFERÊNCIAS</w:t>
      </w:r>
    </w:p>
    <w:p>
      <w:pPr>
        <w:jc w:val="both"/>
      </w:pPr>
      <w:r>
        <w:rPr>
          <w:sz w:val="22"/>
          <w:szCs w:val="22"/>
        </w:rPr>
        <w:t xml:space="preserve">GNEITING, TILMANN. Predictive distributions and scoring rules. Journal of Smoke, 2026.</w:t>
      </w:r>
    </w:p>
    <w:p>
      <w:pPr>
        <w:jc w:val="both"/>
      </w:pPr>
      <w:r>
        <w:rPr>
          <w:sz w:val="22"/>
          <w:szCs w:val="22"/>
        </w:rPr>
        <w:t xml:space="preserve">FONTANA, MARIA. Portfolio tests. Smoke Review, 2026.</w:t>
      </w:r>
    </w:p>
  </w:body>
</w:document>
</file>

<file path=word/settings.xml><?xml version="1.0" encoding="utf-8"?>
<w:settings xmlns:w="http://schemas.openxmlformats.org/wordprocessingml/2006/main">
  <w:trackRevisions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8b1ced9c57c4590" /></Relationships>
</file>