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pBdr>
          <w:bottom w:val="single" w:color="B8860B" w:sz="16" w:space="1"/>
        </w:pBdr>
        <w:spacing w:after="0" w:before="0"/>
        <w:jc w:val="center"/>
      </w:pPr>
      <w:r>
        <w:rPr>
          <w:rFonts w:ascii="Arial" w:cs="Arial" w:eastAsia="Arial" w:hAnsi="Arial"/>
          <w:b/>
          <w:bCs/>
          <w:color w:val="003366"/>
          <w:sz w:val="64"/>
          <w:szCs w:val="64"/>
        </w:rPr>
        <w:t xml:space="preserve">GOLDMAN SACHS</w:t>
      </w:r>
    </w:p>
    <w:p>
      <w:pPr>
        <w:spacing w:after="0" w:before="40"/>
      </w:pPr>
      <w:r>
        <w:t xml:space="preserve"/>
      </w:r>
    </w:p>
    <w:p>
      <w:pPr>
        <w:spacing w:after="60" w:before="60"/>
        <w:jc w:val="center"/>
      </w:pPr>
      <w:r>
        <w:rPr>
          <w:rFonts w:ascii="Arial" w:cs="Arial" w:eastAsia="Arial" w:hAnsi="Arial"/>
          <w:b/>
          <w:bCs/>
          <w:color w:val="003366"/>
          <w:sz w:val="44"/>
          <w:szCs w:val="44"/>
        </w:rPr>
        <w:t xml:space="preserve">Credit Card Customer Segmentation</w:t>
      </w:r>
    </w:p>
    <w:p>
      <w:pPr>
        <w:spacing w:after="60" w:before="60"/>
        <w:jc w:val="center"/>
      </w:pPr>
      <w:r>
        <w:rPr>
          <w:rFonts w:ascii="Arial" w:cs="Arial" w:eastAsia="Arial" w:hAnsi="Arial"/>
          <w:b/>
          <w:bCs/>
          <w:color w:val="B8860B"/>
          <w:sz w:val="32"/>
          <w:szCs w:val="32"/>
        </w:rPr>
        <w:t xml:space="preserve">Business Intelligence Report</w:t>
      </w:r>
    </w:p>
    <w:p>
      <w:pPr>
        <w:spacing w:after="0" w:before="60"/>
      </w:pPr>
      <w:r>
        <w:t xml:space="preserve"/>
      </w:r>
    </w:p>
    <w:p>
      <w:pPr>
        <w:spacing w:after="60" w:before="60"/>
        <w:jc w:val="center"/>
      </w:pPr>
      <w:r>
        <w:rPr>
          <w:rFonts w:ascii="Arial" w:cs="Arial" w:eastAsia="Arial" w:hAnsi="Arial"/>
          <w:b/>
          <w:bCs/>
          <w:color w:val="555555"/>
          <w:sz w:val="20"/>
          <w:szCs w:val="20"/>
        </w:rPr>
        <w:t xml:space="preserve">Prepared by: Data Science &amp; Analytics Division</w:t>
      </w:r>
    </w:p>
    <w:p>
      <w:pPr>
        <w:spacing w:after="60" w:before="60"/>
        <w:jc w:val="center"/>
      </w:pPr>
      <w:r>
        <w:rPr>
          <w:rFonts w:ascii="Arial" w:cs="Arial" w:eastAsia="Arial" w:hAnsi="Arial"/>
          <w:b/>
          <w:bCs/>
          <w:color w:val="555555"/>
          <w:sz w:val="20"/>
          <w:szCs w:val="20"/>
        </w:rPr>
        <w:t xml:space="preserve">Report Date: April 2025  |  Dataset: 8,950 Active Customers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66" w:sz="1"/>
              <w:left w:val="single" w:color="003366" w:sz="1"/>
              <w:bottom w:val="single" w:color="003366" w:sz="1"/>
              <w:right w:val="single" w:color="003366" w:sz="1"/>
            </w:tcBorders>
            <w:shd w:fill="003366" w:val="clear"/>
            <w:tcMar>
              <w:top w:type="dxa" w:w="120"/>
              <w:left w:type="dxa" w:w="140"/>
              <w:bottom w:type="dxa" w:w="120"/>
              <w:right w:type="dxa" w:w="140"/>
            </w:tcMar>
          </w:tcPr>
          <w:p>
            <w:pPr>
              <w:jc w:val="center"/>
            </w:pPr>
            <w:r>
              <w:rPr>
                <w:rFonts w:ascii="Arial" w:cs="Arial" w:eastAsia="Arial" w:hAnsi="Arial"/>
                <w:b/>
                <w:bCs/>
                <w:color w:val="B8860B"/>
                <w:sz w:val="36"/>
                <w:szCs w:val="36"/>
              </w:rPr>
              <w:t xml:space="preserve">8,950</w:t>
            </w:r>
          </w:p>
          <w:p>
            <w:pPr>
              <w:jc w:val="center"/>
            </w:pPr>
            <w:r>
              <w:rPr>
                <w:rFonts w:ascii="Arial" w:cs="Arial" w:eastAsia="Arial" w:hAnsi="Arial"/>
                <w:color w:val="FFFFFF"/>
                <w:sz w:val="18"/>
                <w:szCs w:val="18"/>
              </w:rPr>
              <w:t xml:space="preserve">Total Customers</w:t>
            </w:r>
          </w:p>
        </w:tc>
        <w:tc>
          <w:tcPr>
            <w:tcW w:type="dxa" w:w="2340"/>
            <w:tcBorders>
              <w:top w:val="single" w:color="003366" w:sz="1"/>
              <w:left w:val="single" w:color="003366" w:sz="1"/>
              <w:bottom w:val="single" w:color="003366" w:sz="1"/>
              <w:right w:val="single" w:color="003366" w:sz="1"/>
            </w:tcBorders>
            <w:shd w:fill="003366" w:val="clear"/>
            <w:tcMar>
              <w:top w:type="dxa" w:w="120"/>
              <w:left w:type="dxa" w:w="140"/>
              <w:bottom w:type="dxa" w:w="120"/>
              <w:right w:type="dxa" w:w="140"/>
            </w:tcMar>
          </w:tcPr>
          <w:p>
            <w:pPr>
              <w:jc w:val="center"/>
            </w:pPr>
            <w:r>
              <w:rPr>
                <w:rFonts w:ascii="Arial" w:cs="Arial" w:eastAsia="Arial" w:hAnsi="Arial"/>
                <w:b/>
                <w:bCs/>
                <w:color w:val="B8860B"/>
                <w:sz w:val="36"/>
                <w:szCs w:val="36"/>
              </w:rPr>
              <w:t xml:space="preserve">$1,564</w:t>
            </w:r>
          </w:p>
          <w:p>
            <w:pPr>
              <w:jc w:val="center"/>
            </w:pPr>
            <w:r>
              <w:rPr>
                <w:rFonts w:ascii="Arial" w:cs="Arial" w:eastAsia="Arial" w:hAnsi="Arial"/>
                <w:color w:val="FFFFFF"/>
                <w:sz w:val="18"/>
                <w:szCs w:val="18"/>
              </w:rPr>
              <w:t xml:space="preserve">Avg. Balance</w:t>
            </w:r>
          </w:p>
        </w:tc>
        <w:tc>
          <w:tcPr>
            <w:tcW w:type="dxa" w:w="2340"/>
            <w:tcBorders>
              <w:top w:val="single" w:color="003366" w:sz="1"/>
              <w:left w:val="single" w:color="003366" w:sz="1"/>
              <w:bottom w:val="single" w:color="003366" w:sz="1"/>
              <w:right w:val="single" w:color="003366" w:sz="1"/>
            </w:tcBorders>
            <w:shd w:fill="003366" w:val="clear"/>
            <w:tcMar>
              <w:top w:type="dxa" w:w="120"/>
              <w:left w:type="dxa" w:w="140"/>
              <w:bottom w:type="dxa" w:w="120"/>
              <w:right w:type="dxa" w:w="140"/>
            </w:tcMar>
          </w:tcPr>
          <w:p>
            <w:pPr>
              <w:jc w:val="center"/>
            </w:pPr>
            <w:r>
              <w:rPr>
                <w:rFonts w:ascii="Arial" w:cs="Arial" w:eastAsia="Arial" w:hAnsi="Arial"/>
                <w:b/>
                <w:bCs/>
                <w:color w:val="B8860B"/>
                <w:sz w:val="36"/>
                <w:szCs w:val="36"/>
              </w:rPr>
              <w:t xml:space="preserve">$4,494</w:t>
            </w:r>
          </w:p>
          <w:p>
            <w:pPr>
              <w:jc w:val="center"/>
            </w:pPr>
            <w:r>
              <w:rPr>
                <w:rFonts w:ascii="Arial" w:cs="Arial" w:eastAsia="Arial" w:hAnsi="Arial"/>
                <w:color w:val="FFFFFF"/>
                <w:sz w:val="18"/>
                <w:szCs w:val="18"/>
              </w:rPr>
              <w:t xml:space="preserve">Avg. Credit Limit</w:t>
            </w:r>
          </w:p>
        </w:tc>
        <w:tc>
          <w:tcPr>
            <w:tcW w:type="dxa" w:w="2340"/>
            <w:tcBorders>
              <w:top w:val="single" w:color="003366" w:sz="1"/>
              <w:left w:val="single" w:color="003366" w:sz="1"/>
              <w:bottom w:val="single" w:color="003366" w:sz="1"/>
              <w:right w:val="single" w:color="003366" w:sz="1"/>
            </w:tcBorders>
            <w:shd w:fill="003366" w:val="clear"/>
            <w:tcMar>
              <w:top w:type="dxa" w:w="120"/>
              <w:left w:type="dxa" w:w="140"/>
              <w:bottom w:type="dxa" w:w="120"/>
              <w:right w:type="dxa" w:w="140"/>
            </w:tcMar>
          </w:tcPr>
          <w:p>
            <w:pPr>
              <w:jc w:val="center"/>
            </w:pPr>
            <w:r>
              <w:rPr>
                <w:rFonts w:ascii="Arial" w:cs="Arial" w:eastAsia="Arial" w:hAnsi="Arial"/>
                <w:b/>
                <w:bCs/>
                <w:color w:val="B8860B"/>
                <w:sz w:val="36"/>
                <w:szCs w:val="36"/>
              </w:rPr>
              <w:t xml:space="preserve">$1,003</w:t>
            </w:r>
          </w:p>
          <w:p>
            <w:pPr>
              <w:jc w:val="center"/>
            </w:pPr>
            <w:r>
              <w:rPr>
                <w:rFonts w:ascii="Arial" w:cs="Arial" w:eastAsia="Arial" w:hAnsi="Arial"/>
                <w:color w:val="FFFFFF"/>
                <w:sz w:val="18"/>
                <w:szCs w:val="18"/>
              </w:rPr>
              <w:t xml:space="preserve">Avg. Purchase</w:t>
            </w:r>
          </w:p>
        </w:tc>
      </w:tr>
    </w:tbl>
    <w:p>
      <w:pPr>
        <w:spacing w:after="0" w:before="100"/>
      </w:pPr>
      <w:r>
        <w:t xml:space="preserve"/>
      </w:r>
    </w:p>
    <w:p>
      <w:pPr>
        <w:jc w:val="center"/>
      </w:pPr>
      <w:r>
        <w:rPr>
          <w:rFonts w:ascii="Arial" w:cs="Arial" w:eastAsia="Arial" w:hAnsi="Arial"/>
          <w:b/>
          <w:bCs/>
          <w:color w:val="999999"/>
          <w:sz w:val="18"/>
          <w:szCs w:val="18"/>
        </w:rPr>
        <w:t xml:space="preserve">EXECUTIVE USE ONLY  •  CONFIDENTIAL</w:t>
      </w:r>
    </w:p>
    <w:p>
      <w:r>
        <w:br w:type="page"/>
      </w:r>
    </w:p>
    <w:p>
      <w:pPr>
        <w:pStyle w:val="Heading1"/>
        <w:spacing w:after="120" w:before="300"/>
      </w:pPr>
      <w:r>
        <w:rPr>
          <w:rFonts w:ascii="Arial" w:cs="Arial" w:eastAsia="Arial" w:hAnsi="Arial"/>
          <w:b/>
          <w:bCs/>
          <w:color w:val="003366"/>
          <w:sz w:val="32"/>
          <w:szCs w:val="32"/>
        </w:rPr>
        <w:t xml:space="preserve">1. Executive Summary</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This report presents the findings of a machine learning-driven customer segmentation study conducted on Goldman Sachs' active credit card portfolio of 8,950 customers. Using KMeans clustering and Principal Component Analysis (PCA), four distinct behavioral segments were identified, each representing a unique financial profile and marketing opportunity.</w:t>
      </w:r>
    </w:p>
    <w:p>
      <w:pPr>
        <w:spacing w:after="0" w:before="60"/>
      </w:pPr>
      <w:r>
        <w:t xml:space="preserve"/>
      </w:r>
    </w:p>
    <w:p>
      <w:pPr>
        <w:spacing w:after="60" w:before="60"/>
      </w:pPr>
      <w:r>
        <w:rPr>
          <w:rFonts w:ascii="Arial" w:cs="Arial" w:eastAsia="Arial" w:hAnsi="Arial"/>
          <w:sz w:val="22"/>
          <w:szCs w:val="22"/>
        </w:rPr>
        <w:t xml:space="preserve">The analysis reveals that nearly half the customer base (44.4%) is inactive — representing a significant untapped revenue opportunity. Conversely, High Spenders, while only 4.6% of the portfolio, demonstrate the highest transaction volumes and creditworthiness, making them prime candidates for premium product offerings.</w:t>
      </w:r>
    </w:p>
    <w:p>
      <w:pPr>
        <w:spacing w:after="0" w:before="60"/>
      </w:pPr>
      <w:r>
        <w:t xml:space="preserve"/>
      </w:r>
    </w:p>
    <w:p>
      <w:pPr>
        <w:spacing w:after="60" w:before="60"/>
      </w:pPr>
      <w:r>
        <w:rPr>
          <w:rFonts w:ascii="Arial" w:cs="Arial" w:eastAsia="Arial" w:hAnsi="Arial"/>
          <w:sz w:val="22"/>
          <w:szCs w:val="22"/>
        </w:rPr>
        <w:t xml:space="preserve">Key portfolio metric: average purchase activity ($1,003) represents only 22% of the average credit limit ($4,494), signalling that the majority of credit capacity is going unused. A targeted spend activation strategy across segments could materially increase interchange revenue.</w:t>
      </w:r>
    </w:p>
    <w:p>
      <w:pPr>
        <w:spacing w:after="0" w:before="80"/>
      </w:pPr>
      <w:r>
        <w:t xml:space="preserve"/>
      </w:r>
    </w:p>
    <w:p>
      <w:pPr>
        <w:pStyle w:val="Heading2"/>
        <w:spacing w:after="80" w:before="220"/>
      </w:pPr>
      <w:r>
        <w:rPr>
          <w:rFonts w:ascii="Arial" w:cs="Arial" w:eastAsia="Arial" w:hAnsi="Arial"/>
          <w:b/>
          <w:bCs/>
          <w:color w:val="003366"/>
          <w:sz w:val="26"/>
          <w:szCs w:val="26"/>
        </w:rPr>
        <w:t xml:space="preserve">1.1 Key Findings at a Glance</w:t>
      </w:r>
    </w:p>
    <w:p>
      <w:pPr>
        <w:pStyle w:val="ListParagraph"/>
        <w:numPr>
          <w:ilvl w:val="0"/>
          <w:numId w:val="2"/>
        </w:numPr>
        <w:spacing w:after="40" w:before="40"/>
      </w:pPr>
      <w:r>
        <w:rPr>
          <w:rFonts w:ascii="Arial" w:cs="Arial" w:eastAsia="Arial" w:hAnsi="Arial"/>
          <w:b w:val="false"/>
          <w:bCs w:val="false"/>
          <w:sz w:val="22"/>
          <w:szCs w:val="22"/>
        </w:rPr>
        <w:t xml:space="preserve">44.4% of customers are inactive — the single largest segment, representing immediate re-engagement opportunity</w:t>
      </w:r>
    </w:p>
    <w:p>
      <w:pPr>
        <w:pStyle w:val="ListParagraph"/>
        <w:numPr>
          <w:ilvl w:val="0"/>
          <w:numId w:val="2"/>
        </w:numPr>
        <w:spacing w:after="40" w:before="40"/>
      </w:pPr>
      <w:r>
        <w:rPr>
          <w:rFonts w:ascii="Arial" w:cs="Arial" w:eastAsia="Arial" w:hAnsi="Arial"/>
          <w:b w:val="false"/>
          <w:bCs w:val="false"/>
          <w:sz w:val="22"/>
          <w:szCs w:val="22"/>
        </w:rPr>
        <w:t xml:space="preserve">High Spenders generate disproportionate value despite being only 4.6% of the portfolio</w:t>
      </w:r>
    </w:p>
    <w:p>
      <w:pPr>
        <w:pStyle w:val="ListParagraph"/>
        <w:numPr>
          <w:ilvl w:val="0"/>
          <w:numId w:val="2"/>
        </w:numPr>
        <w:spacing w:after="40" w:before="40"/>
      </w:pPr>
      <w:r>
        <w:rPr>
          <w:rFonts w:ascii="Arial" w:cs="Arial" w:eastAsia="Arial" w:hAnsi="Arial"/>
          <w:b w:val="false"/>
          <w:bCs w:val="false"/>
          <w:sz w:val="22"/>
          <w:szCs w:val="22"/>
        </w:rPr>
        <w:t xml:space="preserve">Cash Advance Users exhibit high credit utilization (~70%), indicating elevated default risk</w:t>
      </w:r>
    </w:p>
    <w:p>
      <w:pPr>
        <w:pStyle w:val="ListParagraph"/>
        <w:numPr>
          <w:ilvl w:val="0"/>
          <w:numId w:val="2"/>
        </w:numPr>
        <w:spacing w:after="40" w:before="40"/>
      </w:pPr>
      <w:r>
        <w:rPr>
          <w:rFonts w:ascii="Arial" w:cs="Arial" w:eastAsia="Arial" w:hAnsi="Arial"/>
          <w:b w:val="false"/>
          <w:bCs w:val="false"/>
          <w:sz w:val="22"/>
          <w:szCs w:val="22"/>
        </w:rPr>
        <w:t xml:space="preserve">Portfolio-wide credit is severely underutilised at only 22% of average limit</w:t>
      </w:r>
    </w:p>
    <w:p>
      <w:pPr>
        <w:pStyle w:val="ListParagraph"/>
        <w:numPr>
          <w:ilvl w:val="0"/>
          <w:numId w:val="2"/>
        </w:numPr>
        <w:spacing w:after="40" w:before="40"/>
      </w:pPr>
      <w:r>
        <w:rPr>
          <w:rFonts w:ascii="Arial" w:cs="Arial" w:eastAsia="Arial" w:hAnsi="Arial"/>
          <w:b w:val="false"/>
          <w:bCs w:val="false"/>
          <w:sz w:val="22"/>
          <w:szCs w:val="22"/>
        </w:rPr>
        <w:t xml:space="preserve">Installment Buyers (37.6%) are best positioned for 0% EMI and BNPL product campaigns</w:t>
      </w:r>
    </w:p>
    <w:p>
      <w:r>
        <w:br w:type="page"/>
      </w:r>
    </w:p>
    <w:p>
      <w:pPr>
        <w:pStyle w:val="Heading1"/>
        <w:spacing w:after="120" w:before="300"/>
      </w:pPr>
      <w:r>
        <w:rPr>
          <w:rFonts w:ascii="Arial" w:cs="Arial" w:eastAsia="Arial" w:hAnsi="Arial"/>
          <w:b/>
          <w:bCs/>
          <w:color w:val="003366"/>
          <w:sz w:val="32"/>
          <w:szCs w:val="32"/>
        </w:rPr>
        <w:t xml:space="preserve">2. Project Overview</w:t>
      </w:r>
    </w:p>
    <w:p>
      <w:pPr>
        <w:pBdr>
          <w:bottom w:val="single" w:color="003366" w:sz="6" w:space="1"/>
        </w:pBdr>
        <w:spacing w:after="80" w:before="80"/>
      </w:pPr>
      <w:r>
        <w:t xml:space="preserve"/>
      </w:r>
    </w:p>
    <w:p>
      <w:pPr>
        <w:pStyle w:val="Heading2"/>
        <w:spacing w:after="80" w:before="220"/>
      </w:pPr>
      <w:r>
        <w:rPr>
          <w:rFonts w:ascii="Arial" w:cs="Arial" w:eastAsia="Arial" w:hAnsi="Arial"/>
          <w:b/>
          <w:bCs/>
          <w:color w:val="003366"/>
          <w:sz w:val="26"/>
          <w:szCs w:val="26"/>
        </w:rPr>
        <w:t xml:space="preserve">2.1 Business Objective</w:t>
      </w:r>
    </w:p>
    <w:p>
      <w:pPr>
        <w:spacing w:after="60" w:before="60"/>
      </w:pPr>
      <w:r>
        <w:rPr>
          <w:rFonts w:ascii="Arial" w:cs="Arial" w:eastAsia="Arial" w:hAnsi="Arial"/>
          <w:sz w:val="22"/>
          <w:szCs w:val="22"/>
        </w:rPr>
        <w:t xml:space="preserve">Goldman Sachs requires a data-driven approach to personalizing banking services. The current one-size-fits-all marketing model is inefficient — customers with vastly different financial behaviors receive identical product communications. The objective of this project was to segment the active credit card customer base into meaningful behavioral groups to enable targeted, personalized marketing strategies.</w:t>
      </w:r>
    </w:p>
    <w:p>
      <w:pPr>
        <w:spacing w:after="0" w:before="60"/>
      </w:pPr>
      <w:r>
        <w:t xml:space="preserve"/>
      </w:r>
    </w:p>
    <w:p>
      <w:pPr>
        <w:pStyle w:val="Heading2"/>
        <w:spacing w:after="80" w:before="220"/>
      </w:pPr>
      <w:r>
        <w:rPr>
          <w:rFonts w:ascii="Arial" w:cs="Arial" w:eastAsia="Arial" w:hAnsi="Arial"/>
          <w:b/>
          <w:bCs/>
          <w:color w:val="003366"/>
          <w:sz w:val="26"/>
          <w:szCs w:val="26"/>
        </w:rPr>
        <w:t xml:space="preserve">2.2 Dataset Overview</w:t>
      </w:r>
    </w:p>
    <w:p>
      <w:pPr>
        <w:spacing w:after="60" w:before="60"/>
      </w:pPr>
      <w:r>
        <w:rPr>
          <w:rFonts w:ascii="Arial" w:cs="Arial" w:eastAsia="Arial" w:hAnsi="Arial"/>
          <w:b/>
          <w:bCs/>
          <w:sz w:val="22"/>
          <w:szCs w:val="22"/>
        </w:rPr>
        <w:t xml:space="preserve">Source: </w:t>
      </w:r>
      <w:r>
        <w:rPr>
          <w:rFonts w:ascii="Arial" w:cs="Arial" w:eastAsia="Arial" w:hAnsi="Arial"/>
          <w:sz w:val="22"/>
          <w:szCs w:val="22"/>
        </w:rPr>
        <w:t xml:space="preserve">Kaggle — Credit Card Dataset for Clustering (publicly available research dataset)</w:t>
      </w:r>
    </w:p>
    <w:p>
      <w:pPr>
        <w:spacing w:after="60" w:before="60"/>
      </w:pPr>
      <w:r>
        <w:rPr>
          <w:rFonts w:ascii="Arial" w:cs="Arial" w:eastAsia="Arial" w:hAnsi="Arial"/>
          <w:b/>
          <w:bCs/>
          <w:sz w:val="22"/>
          <w:szCs w:val="22"/>
        </w:rPr>
        <w:t xml:space="preserve">Volume: </w:t>
      </w:r>
      <w:r>
        <w:rPr>
          <w:rFonts w:ascii="Arial" w:cs="Arial" w:eastAsia="Arial" w:hAnsi="Arial"/>
          <w:sz w:val="22"/>
          <w:szCs w:val="22"/>
        </w:rPr>
        <w:t xml:space="preserve">8,950 active credit card holders | 6-month behavioral window</w:t>
      </w:r>
    </w:p>
    <w:p>
      <w:pPr>
        <w:spacing w:after="60" w:before="60"/>
      </w:pPr>
      <w:r>
        <w:rPr>
          <w:rFonts w:ascii="Arial" w:cs="Arial" w:eastAsia="Arial" w:hAnsi="Arial"/>
          <w:b/>
          <w:bCs/>
          <w:sz w:val="22"/>
          <w:szCs w:val="22"/>
        </w:rPr>
        <w:t xml:space="preserve">Features: </w:t>
      </w:r>
      <w:r>
        <w:rPr>
          <w:rFonts w:ascii="Arial" w:cs="Arial" w:eastAsia="Arial" w:hAnsi="Arial"/>
          <w:sz w:val="22"/>
          <w:szCs w:val="22"/>
        </w:rPr>
        <w:t xml:space="preserve">18 variables covering balance, purchases, cash advance, credit limit, payment behavior, and tenure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Group</w:t>
            </w:r>
          </w:p>
        </w:tc>
        <w:tc>
          <w:tcPr>
            <w:tcW w:type="dxa" w:w="43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Variables</w:t>
            </w:r>
          </w:p>
        </w:tc>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Balance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 BALANCE_FREQUENCY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Liquidity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Purchases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PURCHASES, ONEOFF_PURCHASES, INSTALLMENTS_PURCHASES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Spend patterns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Frequency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PURCHASES_FREQUENCY, ONEOFF_PURCHASES_FREQUENCY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often buying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CASH_ADVANCE, CASH_ADVANCE_FREQUENCY, CASH_ADVANCE_TRX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indicator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Credit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CREDIT_LIMIT, PAYMENTS, MINIMUM_PAYMENTS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Creditworthiness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Loyalty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PRC_FULL_PAYMENT, TENURE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quality</w:t>
            </w:r>
          </w:p>
        </w:tc>
      </w:tr>
    </w:tbl>
    <w:p>
      <w:pPr>
        <w:spacing w:after="0" w:before="80"/>
      </w:pPr>
      <w:r>
        <w:t xml:space="preserve"/>
      </w:r>
    </w:p>
    <w:p>
      <w:pPr>
        <w:pStyle w:val="Heading2"/>
        <w:spacing w:after="80" w:before="220"/>
      </w:pPr>
      <w:r>
        <w:rPr>
          <w:rFonts w:ascii="Arial" w:cs="Arial" w:eastAsia="Arial" w:hAnsi="Arial"/>
          <w:b/>
          <w:bCs/>
          <w:color w:val="003366"/>
          <w:sz w:val="26"/>
          <w:szCs w:val="26"/>
        </w:rPr>
        <w:t xml:space="preserve">2.3 Tools &amp; Technologies</w:t>
      </w:r>
    </w:p>
    <w:p>
      <w:pPr>
        <w:pStyle w:val="ListParagraph"/>
        <w:numPr>
          <w:ilvl w:val="0"/>
          <w:numId w:val="2"/>
        </w:numPr>
        <w:spacing w:after="40" w:before="40"/>
      </w:pPr>
      <w:r>
        <w:rPr>
          <w:rFonts w:ascii="Arial" w:cs="Arial" w:eastAsia="Arial" w:hAnsi="Arial"/>
          <w:b w:val="false"/>
          <w:bCs w:val="false"/>
          <w:sz w:val="22"/>
          <w:szCs w:val="22"/>
        </w:rPr>
        <w:t xml:space="preserve">Python 3.9 — Pandas, NumPy (data processing), Scikit-learn (KMeans, PCA, StandardScaler)</w:t>
      </w:r>
    </w:p>
    <w:p>
      <w:pPr>
        <w:pStyle w:val="ListParagraph"/>
        <w:numPr>
          <w:ilvl w:val="0"/>
          <w:numId w:val="2"/>
        </w:numPr>
        <w:spacing w:after="40" w:before="40"/>
      </w:pPr>
      <w:r>
        <w:rPr>
          <w:rFonts w:ascii="Arial" w:cs="Arial" w:eastAsia="Arial" w:hAnsi="Arial"/>
          <w:b w:val="false"/>
          <w:bCs w:val="false"/>
          <w:sz w:val="22"/>
          <w:szCs w:val="22"/>
        </w:rPr>
        <w:t xml:space="preserve">Matplotlib &amp; Seaborn — 8 exploratory and result visualizations in Jupyter Notebook</w:t>
      </w:r>
    </w:p>
    <w:p>
      <w:pPr>
        <w:pStyle w:val="ListParagraph"/>
        <w:numPr>
          <w:ilvl w:val="0"/>
          <w:numId w:val="2"/>
        </w:numPr>
        <w:spacing w:after="40" w:before="40"/>
      </w:pPr>
      <w:r>
        <w:rPr>
          <w:rFonts w:ascii="Arial" w:cs="Arial" w:eastAsia="Arial" w:hAnsi="Arial"/>
          <w:b w:val="false"/>
          <w:bCs w:val="false"/>
          <w:sz w:val="22"/>
          <w:szCs w:val="22"/>
        </w:rPr>
        <w:t xml:space="preserve">Power BI Desktop — Interactive fleet management dashboard with segment slicer</w:t>
      </w:r>
    </w:p>
    <w:p>
      <w:pPr>
        <w:pStyle w:val="ListParagraph"/>
        <w:numPr>
          <w:ilvl w:val="0"/>
          <w:numId w:val="2"/>
        </w:numPr>
        <w:spacing w:after="40" w:before="40"/>
      </w:pPr>
      <w:r>
        <w:rPr>
          <w:rFonts w:ascii="Arial" w:cs="Arial" w:eastAsia="Arial" w:hAnsi="Arial"/>
          <w:b w:val="false"/>
          <w:bCs w:val="false"/>
          <w:sz w:val="22"/>
          <w:szCs w:val="22"/>
        </w:rPr>
        <w:t xml:space="preserve">SQL / MySQL — Data extraction and customer profiling queries</w:t>
      </w:r>
    </w:p>
    <w:p>
      <w:r>
        <w:br w:type="page"/>
      </w:r>
    </w:p>
    <w:p>
      <w:pPr>
        <w:pStyle w:val="Heading1"/>
        <w:spacing w:after="120" w:before="300"/>
      </w:pPr>
      <w:r>
        <w:rPr>
          <w:rFonts w:ascii="Arial" w:cs="Arial" w:eastAsia="Arial" w:hAnsi="Arial"/>
          <w:b/>
          <w:bCs/>
          <w:color w:val="003366"/>
          <w:sz w:val="32"/>
          <w:szCs w:val="32"/>
        </w:rPr>
        <w:t xml:space="preserve">3. Methodology</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The analysis followed a structured six-step machine learning pipeline, from raw data ingestion through to business-ready segment profiles.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12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Technique</w:t>
            </w:r>
          </w:p>
        </w:tc>
        <w:tc>
          <w:tcPr>
            <w:tcW w:type="dxa" w:w="3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Outcome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Data Collection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Kaggle Credit Card Dataset</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8,950 records × 18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EDA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Distribution plots, correlation heatmap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feature relationships identified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Data Cleaning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Median imputation for nulls</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missing values; clean dataset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StandardScaler (z-score)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features on equal footing</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 Clustering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KMeans + Elbow Method</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Optimal k = 4 clusters selected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 Dimensionality 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PCA (2 components)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 variance explained, 2D visualization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 Visualization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Matplotlib, Seaborn, Power BI</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Jupyter charts + interactive dashboard</w:t>
            </w:r>
          </w:p>
        </w:tc>
      </w:tr>
    </w:tbl>
    <w:p>
      <w:pPr>
        <w:spacing w:after="0" w:before="80"/>
      </w:pPr>
      <w:r>
        <w:t xml:space="preserve"/>
      </w:r>
    </w:p>
    <w:p>
      <w:pPr>
        <w:pStyle w:val="Heading2"/>
        <w:spacing w:after="80" w:before="220"/>
      </w:pPr>
      <w:r>
        <w:rPr>
          <w:rFonts w:ascii="Arial" w:cs="Arial" w:eastAsia="Arial" w:hAnsi="Arial"/>
          <w:b/>
          <w:bCs/>
          <w:color w:val="003366"/>
          <w:sz w:val="26"/>
          <w:szCs w:val="26"/>
        </w:rPr>
        <w:t xml:space="preserve">3.1 Data Quality &amp; Cleaning</w:t>
      </w:r>
    </w:p>
    <w:p>
      <w:pPr>
        <w:spacing w:after="60" w:before="60"/>
      </w:pPr>
      <w:r>
        <w:rPr>
          <w:rFonts w:ascii="Arial" w:cs="Arial" w:eastAsia="Arial" w:hAnsi="Arial"/>
          <w:sz w:val="22"/>
          <w:szCs w:val="22"/>
        </w:rPr>
        <w:t xml:space="preserve">Two data quality issues were identified and resolved prior to modelling:</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MINIMUM_PAYMENTS: 313 missing values (3.5% of records) — imputed using column median, preferred over mean due to right-skewed distribution</w:t>
      </w:r>
    </w:p>
    <w:p>
      <w:pPr>
        <w:pStyle w:val="ListParagraph"/>
        <w:numPr>
          <w:ilvl w:val="0"/>
          <w:numId w:val="2"/>
        </w:numPr>
        <w:spacing w:after="40" w:before="40"/>
      </w:pPr>
      <w:r>
        <w:rPr>
          <w:rFonts w:ascii="Arial" w:cs="Arial" w:eastAsia="Arial" w:hAnsi="Arial"/>
          <w:b w:val="false"/>
          <w:bCs w:val="false"/>
          <w:sz w:val="22"/>
          <w:szCs w:val="22"/>
        </w:rPr>
        <w:t xml:space="preserve">CREDIT_LIMIT: 1 missing value — imputed using column median</w:t>
      </w:r>
    </w:p>
    <w:p>
      <w:pPr>
        <w:pStyle w:val="ListParagraph"/>
        <w:numPr>
          <w:ilvl w:val="0"/>
          <w:numId w:val="2"/>
        </w:numPr>
        <w:spacing w:after="40" w:before="40"/>
      </w:pPr>
      <w:r>
        <w:rPr>
          <w:rFonts w:ascii="Arial" w:cs="Arial" w:eastAsia="Arial" w:hAnsi="Arial"/>
          <w:b w:val="false"/>
          <w:bCs w:val="false"/>
          <w:sz w:val="22"/>
          <w:szCs w:val="22"/>
        </w:rPr>
        <w:t xml:space="preserve">CUST_ID column dropped — unique identifier with no analytical value for clustering</w:t>
      </w:r>
    </w:p>
    <w:p>
      <w:pPr>
        <w:spacing w:after="0" w:before="60"/>
      </w:pPr>
      <w:r>
        <w:t xml:space="preserve"/>
      </w:r>
    </w:p>
    <w:p>
      <w:pPr>
        <w:spacing w:after="60" w:before="60"/>
      </w:pPr>
      <w:r>
        <w:rPr>
          <w:rFonts w:ascii="Arial" w:cs="Arial" w:eastAsia="Arial" w:hAnsi="Arial"/>
          <w:sz w:val="22"/>
          <w:szCs w:val="22"/>
        </w:rPr>
        <w:t xml:space="preserve">After cleaning, the feature matrix consisted of 8,950 rows across 17 numeric features with zero missing values, fully prepared for scaling and modelling.</w:t>
      </w:r>
    </w:p>
    <w:p>
      <w:pPr>
        <w:spacing w:after="0" w:before="80"/>
      </w:pPr>
      <w:r>
        <w:t xml:space="preserve"/>
      </w:r>
    </w:p>
    <w:p>
      <w:pPr>
        <w:pStyle w:val="Heading2"/>
        <w:spacing w:after="80" w:before="220"/>
      </w:pPr>
      <w:r>
        <w:rPr>
          <w:rFonts w:ascii="Arial" w:cs="Arial" w:eastAsia="Arial" w:hAnsi="Arial"/>
          <w:b/>
          <w:bCs/>
          <w:color w:val="003366"/>
          <w:sz w:val="26"/>
          <w:szCs w:val="26"/>
        </w:rPr>
        <w:t xml:space="preserve">3.2 Why KMeans Clustering?</w:t>
      </w:r>
    </w:p>
    <w:p>
      <w:pPr>
        <w:spacing w:after="60" w:before="60"/>
      </w:pPr>
      <w:r>
        <w:rPr>
          <w:rFonts w:ascii="Arial" w:cs="Arial" w:eastAsia="Arial" w:hAnsi="Arial"/>
          <w:sz w:val="22"/>
          <w:szCs w:val="22"/>
        </w:rPr>
        <w:t xml:space="preserve">KMeans was selected as the primary algorithm due to its computational efficiency on a dataset of this size, interpretability of cluster centroids for business profiling, and suitability for continuous numeric behavioral data. The Elbow Method was used to determine the optimal number of clusters (k), plotting within-cluster sum of squares (WCSS) against k values 1 through 10. The inflection point occurred at k = 4, indicating four distinct behavioral groups within the portfolio.</w:t>
      </w:r>
    </w:p>
    <w:p>
      <w:pPr>
        <w:spacing w:after="0" w:before="60"/>
      </w:pPr>
      <w:r>
        <w:t xml:space="preserve"/>
      </w:r>
    </w:p>
    <w:p>
      <w:pPr>
        <w:pStyle w:val="Heading2"/>
        <w:spacing w:after="80" w:before="220"/>
      </w:pPr>
      <w:r>
        <w:rPr>
          <w:rFonts w:ascii="Arial" w:cs="Arial" w:eastAsia="Arial" w:hAnsi="Arial"/>
          <w:b/>
          <w:bCs/>
          <w:color w:val="003366"/>
          <w:sz w:val="26"/>
          <w:szCs w:val="26"/>
        </w:rPr>
        <w:t xml:space="preserve">3.3 Principal Component Analysis (PCA)</w:t>
      </w:r>
    </w:p>
    <w:p>
      <w:pPr>
        <w:spacing w:after="60" w:before="60"/>
      </w:pPr>
      <w:r>
        <w:rPr>
          <w:rFonts w:ascii="Arial" w:cs="Arial" w:eastAsia="Arial" w:hAnsi="Arial"/>
          <w:sz w:val="22"/>
          <w:szCs w:val="22"/>
        </w:rPr>
        <w:t xml:space="preserve">PCA was applied post-clustering to reduce 17 dimensions to 2 principal components for visualization. PC1 explained approximately 28% of total variance and PC2 approximately 16%, together capturing 44% of the information in a 2D scatter plot. The resulting visualization confirmed clear spatial separation between all four clusters, validating the segmentation quality.</w:t>
      </w:r>
    </w:p>
    <w:p>
      <w:r>
        <w:br w:type="page"/>
      </w:r>
    </w:p>
    <w:p>
      <w:pPr>
        <w:pStyle w:val="Heading1"/>
        <w:spacing w:after="120" w:before="300"/>
      </w:pPr>
      <w:r>
        <w:rPr>
          <w:rFonts w:ascii="Arial" w:cs="Arial" w:eastAsia="Arial" w:hAnsi="Arial"/>
          <w:b/>
          <w:bCs/>
          <w:color w:val="003366"/>
          <w:sz w:val="32"/>
          <w:szCs w:val="32"/>
        </w:rPr>
        <w:t xml:space="preserve">4. Customer Segment Analysis</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The KMeans model identified four behaviorally distinct customer segments. Each segment is profiled below with its defining financial characteristics, size, and strategic significance.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560"/>
        <w:gridCol w:w="1500"/>
        <w:gridCol w:w="1800"/>
      </w:tblGrid>
      <w:tr>
        <w:trPr>
          <w:tblHeader/>
        </w:trPr>
        <w:tc>
          <w:tcPr>
            <w:tcW w:type="dxa" w:w="2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Customers</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Share</w:t>
            </w:r>
          </w:p>
        </w:tc>
        <w:tc>
          <w:tcPr>
            <w:tcW w:type="dxa" w:w="15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Purchases</w:t>
            </w:r>
          </w:p>
        </w:tc>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Balance</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Strategy</w:t>
            </w:r>
          </w:p>
        </w:tc>
      </w:tr>
      <w:tr>
        <w:tc>
          <w:tcPr>
            <w:tcW w:type="dxa" w:w="21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Spenders</w:t>
            </w:r>
          </w:p>
        </w:tc>
        <w:tc>
          <w:tcPr>
            <w:tcW w:type="dxa" w:w="1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410</w:t>
            </w:r>
          </w:p>
        </w:tc>
        <w:tc>
          <w:tcPr>
            <w:tcW w:type="dxa" w:w="1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w:t>
            </w:r>
          </w:p>
        </w:tc>
        <w:tc>
          <w:tcPr>
            <w:tcW w:type="dxa" w:w="15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$5,500</w:t>
            </w:r>
          </w:p>
        </w:tc>
        <w:tc>
          <w:tcPr>
            <w:tcW w:type="dxa" w:w="15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$2,100</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Premium card upsell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 Buyers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EMI campaigns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Advance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consolidation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Inactive / Low-Engagement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Re-engagement cashback</w:t>
            </w:r>
          </w:p>
        </w:tc>
      </w:tr>
    </w:tbl>
    <w:p>
      <w:pPr>
        <w:spacing w:after="0" w:before="120"/>
      </w:pPr>
      <w:r>
        <w:t xml:space="preserve"/>
      </w:r>
    </w:p>
    <w:p>
      <w:pPr>
        <w:pStyle w:val="Heading2"/>
        <w:spacing w:after="80" w:before="220"/>
      </w:pPr>
      <w:r>
        <w:rPr>
          <w:rFonts w:ascii="Arial" w:cs="Arial" w:eastAsia="Arial" w:hAnsi="Arial"/>
          <w:b/>
          <w:bCs/>
          <w:color w:val="003366"/>
          <w:sz w:val="26"/>
          <w:szCs w:val="26"/>
        </w:rPr>
        <w:t xml:space="preserve">4.1 High Spenders (4.6% — 410 customers)</w:t>
      </w:r>
    </w:p>
    <w:p>
      <w:pPr>
        <w:pBdr>
          <w:bottom w:val="single" w:color="B8860B" w:sz="4" w:space="1"/>
        </w:pBdr>
        <w:spacing w:after="60" w:before="60"/>
      </w:pPr>
      <w:r>
        <w:t xml:space="preserve"/>
      </w:r>
    </w:p>
    <w:p>
      <w:pPr>
        <w:spacing w:after="60" w:before="60"/>
      </w:pPr>
      <w:r>
        <w:rPr>
          <w:rFonts w:ascii="Arial" w:cs="Arial" w:eastAsia="Arial" w:hAnsi="Arial"/>
          <w:sz w:val="22"/>
          <w:szCs w:val="22"/>
        </w:rPr>
        <w:t xml:space="preserve">High Spenders are Goldman Sachs' most valuable customer cohort by transaction volume. Despite representing less than 5% of the portfolio, they generate disproportionate interchange revenue through high-frequency, high-value purchases. Their credit utilization is moderate and payment behavior is responsible, with a high percentage of full monthly payments.</w:t>
      </w:r>
    </w:p>
    <w:p>
      <w:pPr>
        <w:spacing w:after="0" w:before="60"/>
      </w:pPr>
      <w:r>
        <w:t xml:space="preserve"/>
      </w:r>
    </w:p>
    <w:p>
      <w:pPr>
        <w:spacing w:after="60" w:before="160"/>
      </w:pPr>
      <w:r>
        <w:rPr>
          <w:rFonts w:ascii="Arial" w:cs="Arial" w:eastAsia="Arial" w:hAnsi="Arial"/>
          <w:b/>
          <w:bCs/>
          <w:color w:val="B8860B"/>
          <w:sz w:val="22"/>
          <w:szCs w:val="22"/>
        </w:rPr>
        <w:t xml:space="preserve">Financial Profile</w:t>
      </w:r>
    </w:p>
    <w:p>
      <w:pPr>
        <w:pStyle w:val="ListParagraph"/>
        <w:numPr>
          <w:ilvl w:val="0"/>
          <w:numId w:val="2"/>
        </w:numPr>
        <w:spacing w:after="40" w:before="40"/>
      </w:pPr>
      <w:r>
        <w:rPr>
          <w:rFonts w:ascii="Arial" w:cs="Arial" w:eastAsia="Arial" w:hAnsi="Arial"/>
          <w:b w:val="false"/>
          <w:bCs w:val="false"/>
          <w:sz w:val="22"/>
          <w:szCs w:val="22"/>
        </w:rPr>
        <w:t xml:space="preserve">Average purchases: ~$5,500 — highest across all segments</w:t>
      </w:r>
    </w:p>
    <w:p>
      <w:pPr>
        <w:pStyle w:val="ListParagraph"/>
        <w:numPr>
          <w:ilvl w:val="0"/>
          <w:numId w:val="2"/>
        </w:numPr>
        <w:spacing w:after="40" w:before="40"/>
      </w:pPr>
      <w:r>
        <w:rPr>
          <w:rFonts w:ascii="Arial" w:cs="Arial" w:eastAsia="Arial" w:hAnsi="Arial"/>
          <w:b w:val="false"/>
          <w:bCs w:val="false"/>
          <w:sz w:val="22"/>
          <w:szCs w:val="22"/>
        </w:rPr>
        <w:t xml:space="preserve">Average balance: ~$2,100 — actively using credit capacity</w:t>
      </w:r>
    </w:p>
    <w:p>
      <w:pPr>
        <w:pStyle w:val="ListParagraph"/>
        <w:numPr>
          <w:ilvl w:val="0"/>
          <w:numId w:val="2"/>
        </w:numPr>
        <w:spacing w:after="40" w:before="40"/>
      </w:pPr>
      <w:r>
        <w:rPr>
          <w:rFonts w:ascii="Arial" w:cs="Arial" w:eastAsia="Arial" w:hAnsi="Arial"/>
          <w:b w:val="false"/>
          <w:bCs w:val="false"/>
          <w:sz w:val="22"/>
          <w:szCs w:val="22"/>
        </w:rPr>
        <w:t xml:space="preserve">Average credit limit: highest in portfolio (~$8,000–12,000)</w:t>
      </w:r>
    </w:p>
    <w:p>
      <w:pPr>
        <w:pStyle w:val="ListParagraph"/>
        <w:numPr>
          <w:ilvl w:val="0"/>
          <w:numId w:val="2"/>
        </w:numPr>
        <w:spacing w:after="40" w:before="40"/>
      </w:pPr>
      <w:r>
        <w:rPr>
          <w:rFonts w:ascii="Arial" w:cs="Arial" w:eastAsia="Arial" w:hAnsi="Arial"/>
          <w:b w:val="false"/>
          <w:bCs w:val="false"/>
          <w:sz w:val="22"/>
          <w:szCs w:val="22"/>
        </w:rPr>
        <w:t xml:space="preserve">Full payment rate: high — responsible credit behavior</w:t>
      </w:r>
    </w:p>
    <w:p>
      <w:pPr>
        <w:pStyle w:val="ListParagraph"/>
        <w:numPr>
          <w:ilvl w:val="0"/>
          <w:numId w:val="2"/>
        </w:numPr>
        <w:spacing w:after="40" w:before="40"/>
      </w:pPr>
      <w:r>
        <w:rPr>
          <w:rFonts w:ascii="Arial" w:cs="Arial" w:eastAsia="Arial" w:hAnsi="Arial"/>
          <w:b w:val="false"/>
          <w:bCs w:val="false"/>
          <w:sz w:val="22"/>
          <w:szCs w:val="22"/>
        </w:rPr>
        <w:t xml:space="preserve">Cash advance usage: minimal — no financial stress indicators</w:t>
      </w:r>
    </w:p>
    <w:p>
      <w:pPr>
        <w:spacing w:after="0" w:before="60"/>
      </w:pPr>
      <w:r>
        <w:t xml:space="preserve"/>
      </w:r>
    </w:p>
    <w:p>
      <w:pPr>
        <w:spacing w:after="60" w:before="160"/>
      </w:pPr>
      <w:r>
        <w:rPr>
          <w:rFonts w:ascii="Arial" w:cs="Arial" w:eastAsia="Arial" w:hAnsi="Arial"/>
          <w:b/>
          <w:bCs/>
          <w:color w:val="B8860B"/>
          <w:sz w:val="22"/>
          <w:szCs w:val="22"/>
        </w:rPr>
        <w:t xml:space="preserve">Strategic Opportunity</w:t>
      </w:r>
    </w:p>
    <w:p>
      <w:pPr>
        <w:pStyle w:val="ListParagraph"/>
        <w:numPr>
          <w:ilvl w:val="0"/>
          <w:numId w:val="2"/>
        </w:numPr>
        <w:spacing w:after="40" w:before="40"/>
      </w:pPr>
      <w:r>
        <w:rPr>
          <w:rFonts w:ascii="Arial" w:cs="Arial" w:eastAsia="Arial" w:hAnsi="Arial"/>
          <w:b w:val="false"/>
          <w:bCs w:val="false"/>
          <w:sz w:val="22"/>
          <w:szCs w:val="22"/>
        </w:rPr>
        <w:t xml:space="preserve">Launch a Prestige Rewards Card with travel miles, cashback, and airport lounge access</w:t>
      </w:r>
    </w:p>
    <w:p>
      <w:pPr>
        <w:pStyle w:val="ListParagraph"/>
        <w:numPr>
          <w:ilvl w:val="0"/>
          <w:numId w:val="2"/>
        </w:numPr>
        <w:spacing w:after="40" w:before="40"/>
      </w:pPr>
      <w:r>
        <w:rPr>
          <w:rFonts w:ascii="Arial" w:cs="Arial" w:eastAsia="Arial" w:hAnsi="Arial"/>
          <w:b w:val="false"/>
          <w:bCs w:val="false"/>
          <w:sz w:val="22"/>
          <w:szCs w:val="22"/>
        </w:rPr>
        <w:t xml:space="preserve">Offer credit limit upgrades proactively to reward loyalty</w:t>
      </w:r>
    </w:p>
    <w:p>
      <w:pPr>
        <w:pStyle w:val="ListParagraph"/>
        <w:numPr>
          <w:ilvl w:val="0"/>
          <w:numId w:val="2"/>
        </w:numPr>
        <w:spacing w:after="40" w:before="40"/>
      </w:pPr>
      <w:r>
        <w:rPr>
          <w:rFonts w:ascii="Arial" w:cs="Arial" w:eastAsia="Arial" w:hAnsi="Arial"/>
          <w:b w:val="false"/>
          <w:bCs w:val="false"/>
          <w:sz w:val="22"/>
          <w:szCs w:val="22"/>
        </w:rPr>
        <w:t xml:space="preserve">Priority customer service and dedicated relationship manager assignment</w:t>
      </w:r>
    </w:p>
    <w:p>
      <w:pPr>
        <w:pStyle w:val="ListParagraph"/>
        <w:numPr>
          <w:ilvl w:val="0"/>
          <w:numId w:val="2"/>
        </w:numPr>
        <w:spacing w:after="40" w:before="40"/>
      </w:pPr>
      <w:r>
        <w:rPr>
          <w:rFonts w:ascii="Arial" w:cs="Arial" w:eastAsia="Arial" w:hAnsi="Arial"/>
          <w:b w:val="false"/>
          <w:bCs w:val="false"/>
          <w:sz w:val="22"/>
          <w:szCs w:val="22"/>
        </w:rPr>
        <w:t xml:space="preserve">Cross-sell wealth management and investment products</w:t>
      </w:r>
    </w:p>
    <w:p>
      <w:pPr>
        <w:spacing w:after="0" w:before="100"/>
      </w:pPr>
      <w:r>
        <w:t xml:space="preserve"/>
      </w:r>
    </w:p>
    <w:p>
      <w:pPr>
        <w:pStyle w:val="Heading2"/>
        <w:spacing w:after="80" w:before="220"/>
      </w:pPr>
      <w:r>
        <w:rPr>
          <w:rFonts w:ascii="Arial" w:cs="Arial" w:eastAsia="Arial" w:hAnsi="Arial"/>
          <w:b/>
          <w:bCs/>
          <w:color w:val="003366"/>
          <w:sz w:val="26"/>
          <w:szCs w:val="26"/>
        </w:rPr>
        <w:t xml:space="preserve">4.2 Installment Buyers (37.6% — 3,370 customers)</w:t>
      </w:r>
    </w:p>
    <w:p>
      <w:pPr>
        <w:pBdr>
          <w:bottom w:val="single" w:color="B8860B" w:sz="4" w:space="1"/>
        </w:pBdr>
        <w:spacing w:after="60" w:before="60"/>
      </w:pPr>
      <w:r>
        <w:t xml:space="preserve"/>
      </w:r>
    </w:p>
    <w:p>
      <w:pPr>
        <w:spacing w:after="60" w:before="60"/>
      </w:pPr>
      <w:r>
        <w:rPr>
          <w:rFonts w:ascii="Arial" w:cs="Arial" w:eastAsia="Arial" w:hAnsi="Arial"/>
          <w:sz w:val="22"/>
          <w:szCs w:val="22"/>
        </w:rPr>
        <w:t xml:space="preserve">Installment Buyers are the second largest segment and represent the most commercially promising growth opportunity. Their preference for structured, installment-based purchases signals strong affinity for deferred payment products and Buy Now Pay Later (BNPL) offerings. This segment is financially stable and represents low-to-moderate risk.</w:t>
      </w:r>
    </w:p>
    <w:p>
      <w:pPr>
        <w:spacing w:after="0" w:before="60"/>
      </w:pPr>
      <w:r>
        <w:t xml:space="preserve"/>
      </w:r>
    </w:p>
    <w:p>
      <w:pPr>
        <w:spacing w:after="60" w:before="160"/>
      </w:pPr>
      <w:r>
        <w:rPr>
          <w:rFonts w:ascii="Arial" w:cs="Arial" w:eastAsia="Arial" w:hAnsi="Arial"/>
          <w:b/>
          <w:bCs/>
          <w:color w:val="B8860B"/>
          <w:sz w:val="22"/>
          <w:szCs w:val="22"/>
        </w:rPr>
        <w:t xml:space="preserve">Financial Profile</w:t>
      </w:r>
    </w:p>
    <w:p>
      <w:pPr>
        <w:pStyle w:val="ListParagraph"/>
        <w:numPr>
          <w:ilvl w:val="0"/>
          <w:numId w:val="2"/>
        </w:numPr>
        <w:spacing w:after="40" w:before="40"/>
      </w:pPr>
      <w:r>
        <w:rPr>
          <w:rFonts w:ascii="Arial" w:cs="Arial" w:eastAsia="Arial" w:hAnsi="Arial"/>
          <w:b w:val="false"/>
          <w:bCs w:val="false"/>
          <w:sz w:val="22"/>
          <w:szCs w:val="22"/>
        </w:rPr>
        <w:t xml:space="preserve">Average purchases: ~$1,900 — primarily through installment channels</w:t>
      </w:r>
    </w:p>
    <w:p>
      <w:pPr>
        <w:pStyle w:val="ListParagraph"/>
        <w:numPr>
          <w:ilvl w:val="0"/>
          <w:numId w:val="2"/>
        </w:numPr>
        <w:spacing w:after="40" w:before="40"/>
      </w:pPr>
      <w:r>
        <w:rPr>
          <w:rFonts w:ascii="Arial" w:cs="Arial" w:eastAsia="Arial" w:hAnsi="Arial"/>
          <w:b w:val="false"/>
          <w:bCs w:val="false"/>
          <w:sz w:val="22"/>
          <w:szCs w:val="22"/>
        </w:rPr>
        <w:t xml:space="preserve">One-off purchase frequency: very low — they strongly prefer EMI</w:t>
      </w:r>
    </w:p>
    <w:p>
      <w:pPr>
        <w:pStyle w:val="ListParagraph"/>
        <w:numPr>
          <w:ilvl w:val="0"/>
          <w:numId w:val="2"/>
        </w:numPr>
        <w:spacing w:after="40" w:before="40"/>
      </w:pPr>
      <w:r>
        <w:rPr>
          <w:rFonts w:ascii="Arial" w:cs="Arial" w:eastAsia="Arial" w:hAnsi="Arial"/>
          <w:b w:val="false"/>
          <w:bCs w:val="false"/>
          <w:sz w:val="22"/>
          <w:szCs w:val="22"/>
        </w:rPr>
        <w:t xml:space="preserve">Average balance: ~$1,200 — manageable and stable</w:t>
      </w:r>
    </w:p>
    <w:p>
      <w:pPr>
        <w:pStyle w:val="ListParagraph"/>
        <w:numPr>
          <w:ilvl w:val="0"/>
          <w:numId w:val="2"/>
        </w:numPr>
        <w:spacing w:after="40" w:before="40"/>
      </w:pPr>
      <w:r>
        <w:rPr>
          <w:rFonts w:ascii="Arial" w:cs="Arial" w:eastAsia="Arial" w:hAnsi="Arial"/>
          <w:b w:val="false"/>
          <w:bCs w:val="false"/>
          <w:sz w:val="22"/>
          <w:szCs w:val="22"/>
        </w:rPr>
        <w:t xml:space="preserve">Cash advance usage: low — no liquidity stress</w:t>
      </w:r>
    </w:p>
    <w:p>
      <w:pPr>
        <w:spacing w:after="0" w:before="60"/>
      </w:pPr>
      <w:r>
        <w:t xml:space="preserve"/>
      </w:r>
    </w:p>
    <w:p>
      <w:pPr>
        <w:spacing w:after="60" w:before="160"/>
      </w:pPr>
      <w:r>
        <w:rPr>
          <w:rFonts w:ascii="Arial" w:cs="Arial" w:eastAsia="Arial" w:hAnsi="Arial"/>
          <w:b/>
          <w:bCs/>
          <w:color w:val="B8860B"/>
          <w:sz w:val="22"/>
          <w:szCs w:val="22"/>
        </w:rPr>
        <w:t xml:space="preserve">Strategic Opportunity</w:t>
      </w:r>
    </w:p>
    <w:p>
      <w:pPr>
        <w:pStyle w:val="ListParagraph"/>
        <w:numPr>
          <w:ilvl w:val="0"/>
          <w:numId w:val="2"/>
        </w:numPr>
        <w:spacing w:after="40" w:before="40"/>
      </w:pPr>
      <w:r>
        <w:rPr>
          <w:rFonts w:ascii="Arial" w:cs="Arial" w:eastAsia="Arial" w:hAnsi="Arial"/>
          <w:b w:val="false"/>
          <w:bCs w:val="false"/>
          <w:sz w:val="22"/>
          <w:szCs w:val="22"/>
        </w:rPr>
        <w:t xml:space="preserve">Launch 0% interest EMI campaigns on 6 and 12-month tenors</w:t>
      </w:r>
    </w:p>
    <w:p>
      <w:pPr>
        <w:pStyle w:val="ListParagraph"/>
        <w:numPr>
          <w:ilvl w:val="0"/>
          <w:numId w:val="2"/>
        </w:numPr>
        <w:spacing w:after="40" w:before="40"/>
      </w:pPr>
      <w:r>
        <w:rPr>
          <w:rFonts w:ascii="Arial" w:cs="Arial" w:eastAsia="Arial" w:hAnsi="Arial"/>
          <w:b w:val="false"/>
          <w:bCs w:val="false"/>
          <w:sz w:val="22"/>
          <w:szCs w:val="22"/>
        </w:rPr>
        <w:t xml:space="preserve">Partner with e-commerce and electronics retailers for co-branded EMI offers</w:t>
      </w:r>
    </w:p>
    <w:p>
      <w:pPr>
        <w:pStyle w:val="ListParagraph"/>
        <w:numPr>
          <w:ilvl w:val="0"/>
          <w:numId w:val="2"/>
        </w:numPr>
        <w:spacing w:after="40" w:before="40"/>
      </w:pPr>
      <w:r>
        <w:rPr>
          <w:rFonts w:ascii="Arial" w:cs="Arial" w:eastAsia="Arial" w:hAnsi="Arial"/>
          <w:b w:val="false"/>
          <w:bCs w:val="false"/>
          <w:sz w:val="22"/>
          <w:szCs w:val="22"/>
        </w:rPr>
        <w:t xml:space="preserve">Introduce a BNPL product line targeting this segment specifically</w:t>
      </w:r>
    </w:p>
    <w:p>
      <w:pPr>
        <w:pStyle w:val="ListParagraph"/>
        <w:numPr>
          <w:ilvl w:val="0"/>
          <w:numId w:val="2"/>
        </w:numPr>
        <w:spacing w:after="40" w:before="40"/>
      </w:pPr>
      <w:r>
        <w:rPr>
          <w:rFonts w:ascii="Arial" w:cs="Arial" w:eastAsia="Arial" w:hAnsi="Arial"/>
          <w:b w:val="false"/>
          <w:bCs w:val="false"/>
          <w:sz w:val="22"/>
          <w:szCs w:val="22"/>
        </w:rPr>
        <w:t xml:space="preserve">Promote spending in high-installment categories: travel, appliances, education</w:t>
      </w:r>
    </w:p>
    <w:p>
      <w:r>
        <w:br w:type="page"/>
      </w:r>
    </w:p>
    <w:p>
      <w:pPr>
        <w:pStyle w:val="Heading2"/>
        <w:spacing w:after="80" w:before="220"/>
      </w:pPr>
      <w:r>
        <w:rPr>
          <w:rFonts w:ascii="Arial" w:cs="Arial" w:eastAsia="Arial" w:hAnsi="Arial"/>
          <w:b/>
          <w:bCs/>
          <w:color w:val="003366"/>
          <w:sz w:val="26"/>
          <w:szCs w:val="26"/>
        </w:rPr>
        <w:t xml:space="preserve">4.3 Cash Advance Users (13.4% — 1,200 customers)</w:t>
      </w:r>
    </w:p>
    <w:p>
      <w:pPr>
        <w:pBdr>
          <w:bottom w:val="single" w:color="B8860B" w:sz="4" w:space="1"/>
        </w:pBdr>
        <w:spacing w:after="60" w:before="60"/>
      </w:pPr>
      <w:r>
        <w:t xml:space="preserve"/>
      </w:r>
    </w:p>
    <w:p>
      <w:pPr>
        <w:spacing w:after="60" w:before="60"/>
      </w:pPr>
      <w:r>
        <w:rPr>
          <w:rFonts w:ascii="Arial" w:cs="Arial" w:eastAsia="Arial" w:hAnsi="Arial"/>
          <w:sz w:val="22"/>
          <w:szCs w:val="22"/>
        </w:rPr>
        <w:t xml:space="preserve">Cash Advance Users are the highest-risk segment in the portfolio. Their primary card usage is cash withdrawal rather than purchases, indicating potential liquidity stress or financial difficulty. This segment carries significantly higher credit utilization relative to limit, signaling elevated default probability compared to other segments.</w:t>
      </w:r>
    </w:p>
    <w:p>
      <w:pPr>
        <w:spacing w:after="0" w:before="60"/>
      </w:pPr>
      <w:r>
        <w:t xml:space="preserve"/>
      </w:r>
    </w:p>
    <w:p>
      <w:pPr>
        <w:spacing w:after="60" w:before="160"/>
      </w:pPr>
      <w:r>
        <w:rPr>
          <w:rFonts w:ascii="Arial" w:cs="Arial" w:eastAsia="Arial" w:hAnsi="Arial"/>
          <w:b/>
          <w:bCs/>
          <w:color w:val="B8860B"/>
          <w:sz w:val="22"/>
          <w:szCs w:val="22"/>
        </w:rPr>
        <w:t xml:space="preserve">Financial Profile</w:t>
      </w:r>
    </w:p>
    <w:p>
      <w:pPr>
        <w:pStyle w:val="ListParagraph"/>
        <w:numPr>
          <w:ilvl w:val="0"/>
          <w:numId w:val="2"/>
        </w:numPr>
        <w:spacing w:after="40" w:before="40"/>
      </w:pPr>
      <w:r>
        <w:rPr>
          <w:rFonts w:ascii="Arial" w:cs="Arial" w:eastAsia="Arial" w:hAnsi="Arial"/>
          <w:b w:val="false"/>
          <w:bCs w:val="false"/>
          <w:sz w:val="22"/>
          <w:szCs w:val="22"/>
        </w:rPr>
        <w:t xml:space="preserve">Cash advance usage: very high — primary mode of card usage</w:t>
      </w:r>
    </w:p>
    <w:p>
      <w:pPr>
        <w:pStyle w:val="ListParagraph"/>
        <w:numPr>
          <w:ilvl w:val="0"/>
          <w:numId w:val="2"/>
        </w:numPr>
        <w:spacing w:after="40" w:before="40"/>
      </w:pPr>
      <w:r>
        <w:rPr>
          <w:rFonts w:ascii="Arial" w:cs="Arial" w:eastAsia="Arial" w:hAnsi="Arial"/>
          <w:b w:val="false"/>
          <w:bCs w:val="false"/>
          <w:sz w:val="22"/>
          <w:szCs w:val="22"/>
        </w:rPr>
        <w:t xml:space="preserve">Average balance: ~$3,200 — highest in portfolio, relative to low credit limits</w:t>
      </w:r>
    </w:p>
    <w:p>
      <w:pPr>
        <w:pStyle w:val="ListParagraph"/>
        <w:numPr>
          <w:ilvl w:val="0"/>
          <w:numId w:val="2"/>
        </w:numPr>
        <w:spacing w:after="40" w:before="40"/>
      </w:pPr>
      <w:r>
        <w:rPr>
          <w:rFonts w:ascii="Arial" w:cs="Arial" w:eastAsia="Arial" w:hAnsi="Arial"/>
          <w:b w:val="false"/>
          <w:bCs w:val="false"/>
          <w:sz w:val="22"/>
          <w:szCs w:val="22"/>
        </w:rPr>
        <w:t xml:space="preserve">Credit utilization: ~70% — significantly above the 30% healthy threshold</w:t>
      </w:r>
    </w:p>
    <w:p>
      <w:pPr>
        <w:pStyle w:val="ListParagraph"/>
        <w:numPr>
          <w:ilvl w:val="0"/>
          <w:numId w:val="2"/>
        </w:numPr>
        <w:spacing w:after="40" w:before="40"/>
      </w:pPr>
      <w:r>
        <w:rPr>
          <w:rFonts w:ascii="Arial" w:cs="Arial" w:eastAsia="Arial" w:hAnsi="Arial"/>
          <w:b w:val="false"/>
          <w:bCs w:val="false"/>
          <w:sz w:val="22"/>
          <w:szCs w:val="22"/>
        </w:rPr>
        <w:t xml:space="preserve">Average purchases: ~$180 — minimal retail spending</w:t>
      </w:r>
    </w:p>
    <w:p>
      <w:pPr>
        <w:pStyle w:val="ListParagraph"/>
        <w:numPr>
          <w:ilvl w:val="0"/>
          <w:numId w:val="2"/>
        </w:numPr>
        <w:spacing w:after="40" w:before="40"/>
      </w:pPr>
      <w:r>
        <w:rPr>
          <w:rFonts w:ascii="Arial" w:cs="Arial" w:eastAsia="Arial" w:hAnsi="Arial"/>
          <w:b w:val="false"/>
          <w:bCs w:val="false"/>
          <w:sz w:val="22"/>
          <w:szCs w:val="22"/>
        </w:rPr>
        <w:t xml:space="preserve">Full payment rate: very low — revolving balance pattern</w:t>
      </w:r>
    </w:p>
    <w:p>
      <w:pPr>
        <w:spacing w:after="0" w:before="60"/>
      </w:pPr>
      <w:r>
        <w:t xml:space="preserve"/>
      </w:r>
    </w:p>
    <w:p>
      <w:pPr>
        <w:spacing w:after="60" w:before="160"/>
      </w:pPr>
      <w:r>
        <w:rPr>
          <w:rFonts w:ascii="Arial" w:cs="Arial" w:eastAsia="Arial" w:hAnsi="Arial"/>
          <w:b/>
          <w:bCs/>
          <w:color w:val="B8860B"/>
          <w:sz w:val="22"/>
          <w:szCs w:val="22"/>
        </w:rPr>
        <w:t xml:space="preserve">Strategic Opportunity</w:t>
      </w:r>
    </w:p>
    <w:p>
      <w:pPr>
        <w:pStyle w:val="ListParagraph"/>
        <w:numPr>
          <w:ilvl w:val="0"/>
          <w:numId w:val="2"/>
        </w:numPr>
        <w:spacing w:after="40" w:before="40"/>
      </w:pPr>
      <w:r>
        <w:rPr>
          <w:rFonts w:ascii="Arial" w:cs="Arial" w:eastAsia="Arial" w:hAnsi="Arial"/>
          <w:b w:val="false"/>
          <w:bCs w:val="false"/>
          <w:sz w:val="22"/>
          <w:szCs w:val="22"/>
        </w:rPr>
        <w:t xml:space="preserve">Offer debt consolidation personal loans at preferential interest rates</w:t>
      </w:r>
    </w:p>
    <w:p>
      <w:pPr>
        <w:pStyle w:val="ListParagraph"/>
        <w:numPr>
          <w:ilvl w:val="0"/>
          <w:numId w:val="2"/>
        </w:numPr>
        <w:spacing w:after="40" w:before="40"/>
      </w:pPr>
      <w:r>
        <w:rPr>
          <w:rFonts w:ascii="Arial" w:cs="Arial" w:eastAsia="Arial" w:hAnsi="Arial"/>
          <w:b w:val="false"/>
          <w:bCs w:val="false"/>
          <w:sz w:val="22"/>
          <w:szCs w:val="22"/>
        </w:rPr>
        <w:t xml:space="preserve">Provide financial wellness tools — spending trackers, budget alerts, payment reminders</w:t>
      </w:r>
    </w:p>
    <w:p>
      <w:pPr>
        <w:pStyle w:val="ListParagraph"/>
        <w:numPr>
          <w:ilvl w:val="0"/>
          <w:numId w:val="2"/>
        </w:numPr>
        <w:spacing w:after="40" w:before="40"/>
      </w:pPr>
      <w:r>
        <w:rPr>
          <w:rFonts w:ascii="Arial" w:cs="Arial" w:eastAsia="Arial" w:hAnsi="Arial"/>
          <w:b w:val="false"/>
          <w:bCs w:val="false"/>
          <w:sz w:val="22"/>
          <w:szCs w:val="22"/>
        </w:rPr>
        <w:t xml:space="preserve">Proactive outreach before delinquency — early intervention reduces default risk</w:t>
      </w:r>
    </w:p>
    <w:p>
      <w:pPr>
        <w:pStyle w:val="ListParagraph"/>
        <w:numPr>
          <w:ilvl w:val="0"/>
          <w:numId w:val="2"/>
        </w:numPr>
        <w:spacing w:after="40" w:before="40"/>
      </w:pPr>
      <w:r>
        <w:rPr>
          <w:rFonts w:ascii="Arial" w:cs="Arial" w:eastAsia="Arial" w:hAnsi="Arial"/>
          <w:b w:val="false"/>
          <w:bCs w:val="false"/>
          <w:sz w:val="22"/>
          <w:szCs w:val="22"/>
        </w:rPr>
        <w:t xml:space="preserve">Carefully evaluate credit limit increase requests for this segment</w:t>
      </w:r>
    </w:p>
    <w:p>
      <w:pPr>
        <w:spacing w:after="0" w:before="100"/>
      </w:pPr>
      <w:r>
        <w:t xml:space="preserve"/>
      </w:r>
    </w:p>
    <w:p>
      <w:pPr>
        <w:pStyle w:val="Heading2"/>
        <w:spacing w:after="80" w:before="220"/>
      </w:pPr>
      <w:r>
        <w:rPr>
          <w:rFonts w:ascii="Arial" w:cs="Arial" w:eastAsia="Arial" w:hAnsi="Arial"/>
          <w:b/>
          <w:bCs/>
          <w:color w:val="003366"/>
          <w:sz w:val="26"/>
          <w:szCs w:val="26"/>
        </w:rPr>
        <w:t xml:space="preserve">4.4 Inactive / Low-Engagement (44.4% — 3,980 customers)</w:t>
      </w:r>
    </w:p>
    <w:p>
      <w:pPr>
        <w:pBdr>
          <w:bottom w:val="single" w:color="B8860B" w:sz="4" w:space="1"/>
        </w:pBdr>
        <w:spacing w:after="60" w:before="60"/>
      </w:pPr>
      <w:r>
        <w:t xml:space="preserve"/>
      </w:r>
    </w:p>
    <w:p>
      <w:pPr>
        <w:spacing w:after="60" w:before="60"/>
      </w:pPr>
      <w:r>
        <w:rPr>
          <w:rFonts w:ascii="Arial" w:cs="Arial" w:eastAsia="Arial" w:hAnsi="Arial"/>
          <w:sz w:val="22"/>
          <w:szCs w:val="22"/>
        </w:rPr>
        <w:t xml:space="preserve">The Inactive segment is simultaneously the largest and the most concerning from a revenue perspective. These customers hold active cards but make minimal use of them — near-zero purchase activity and very low balances. The cost of maintaining these accounts (customer service, card issuance, compliance) may exceed their revenue contribution, making re-engagement a critical priority.</w:t>
      </w:r>
    </w:p>
    <w:p>
      <w:pPr>
        <w:spacing w:after="0" w:before="60"/>
      </w:pPr>
      <w:r>
        <w:t xml:space="preserve"/>
      </w:r>
    </w:p>
    <w:p>
      <w:pPr>
        <w:spacing w:after="60" w:before="160"/>
      </w:pPr>
      <w:r>
        <w:rPr>
          <w:rFonts w:ascii="Arial" w:cs="Arial" w:eastAsia="Arial" w:hAnsi="Arial"/>
          <w:b/>
          <w:bCs/>
          <w:color w:val="B8860B"/>
          <w:sz w:val="22"/>
          <w:szCs w:val="22"/>
        </w:rPr>
        <w:t xml:space="preserve">Financial Profile</w:t>
      </w:r>
    </w:p>
    <w:p>
      <w:pPr>
        <w:pStyle w:val="ListParagraph"/>
        <w:numPr>
          <w:ilvl w:val="0"/>
          <w:numId w:val="2"/>
        </w:numPr>
        <w:spacing w:after="40" w:before="40"/>
      </w:pPr>
      <w:r>
        <w:rPr>
          <w:rFonts w:ascii="Arial" w:cs="Arial" w:eastAsia="Arial" w:hAnsi="Arial"/>
          <w:b w:val="false"/>
          <w:bCs w:val="false"/>
          <w:sz w:val="22"/>
          <w:szCs w:val="22"/>
        </w:rPr>
        <w:t xml:space="preserve">Average purchases: ~$90 — effectively dormant spending</w:t>
      </w:r>
    </w:p>
    <w:p>
      <w:pPr>
        <w:pStyle w:val="ListParagraph"/>
        <w:numPr>
          <w:ilvl w:val="0"/>
          <w:numId w:val="2"/>
        </w:numPr>
        <w:spacing w:after="40" w:before="40"/>
      </w:pPr>
      <w:r>
        <w:rPr>
          <w:rFonts w:ascii="Arial" w:cs="Arial" w:eastAsia="Arial" w:hAnsi="Arial"/>
          <w:b w:val="false"/>
          <w:bCs w:val="false"/>
          <w:sz w:val="22"/>
          <w:szCs w:val="22"/>
        </w:rPr>
        <w:t xml:space="preserve">Average balance: ~$500 — minimal credit utilization</w:t>
      </w:r>
    </w:p>
    <w:p>
      <w:pPr>
        <w:pStyle w:val="ListParagraph"/>
        <w:numPr>
          <w:ilvl w:val="0"/>
          <w:numId w:val="2"/>
        </w:numPr>
        <w:spacing w:after="40" w:before="40"/>
      </w:pPr>
      <w:r>
        <w:rPr>
          <w:rFonts w:ascii="Arial" w:cs="Arial" w:eastAsia="Arial" w:hAnsi="Arial"/>
          <w:b w:val="false"/>
          <w:bCs w:val="false"/>
          <w:sz w:val="22"/>
          <w:szCs w:val="22"/>
        </w:rPr>
        <w:t xml:space="preserve">Purchase frequency: very low, near 0</w:t>
      </w:r>
    </w:p>
    <w:p>
      <w:pPr>
        <w:pStyle w:val="ListParagraph"/>
        <w:numPr>
          <w:ilvl w:val="0"/>
          <w:numId w:val="2"/>
        </w:numPr>
        <w:spacing w:after="40" w:before="40"/>
      </w:pPr>
      <w:r>
        <w:rPr>
          <w:rFonts w:ascii="Arial" w:cs="Arial" w:eastAsia="Arial" w:hAnsi="Arial"/>
          <w:b w:val="false"/>
          <w:bCs w:val="false"/>
          <w:sz w:val="22"/>
          <w:szCs w:val="22"/>
        </w:rPr>
        <w:t xml:space="preserve">Cash advance: minimal — not using the card at all</w:t>
      </w:r>
    </w:p>
    <w:p>
      <w:pPr>
        <w:pStyle w:val="ListParagraph"/>
        <w:numPr>
          <w:ilvl w:val="0"/>
          <w:numId w:val="2"/>
        </w:numPr>
        <w:spacing w:after="40" w:before="40"/>
      </w:pPr>
      <w:r>
        <w:rPr>
          <w:rFonts w:ascii="Arial" w:cs="Arial" w:eastAsia="Arial" w:hAnsi="Arial"/>
          <w:b w:val="false"/>
          <w:bCs w:val="false"/>
          <w:sz w:val="22"/>
          <w:szCs w:val="22"/>
        </w:rPr>
        <w:t xml:space="preserve">Tenure: varied — some are long-term customers who have disengaged</w:t>
      </w:r>
    </w:p>
    <w:p>
      <w:pPr>
        <w:spacing w:after="0" w:before="60"/>
      </w:pPr>
      <w:r>
        <w:t xml:space="preserve"/>
      </w:r>
    </w:p>
    <w:p>
      <w:pPr>
        <w:spacing w:after="60" w:before="160"/>
      </w:pPr>
      <w:r>
        <w:rPr>
          <w:rFonts w:ascii="Arial" w:cs="Arial" w:eastAsia="Arial" w:hAnsi="Arial"/>
          <w:b/>
          <w:bCs/>
          <w:color w:val="B8860B"/>
          <w:sz w:val="22"/>
          <w:szCs w:val="22"/>
        </w:rPr>
        <w:t xml:space="preserve">Strategic Opportunity</w:t>
      </w:r>
    </w:p>
    <w:p>
      <w:pPr>
        <w:pStyle w:val="ListParagraph"/>
        <w:numPr>
          <w:ilvl w:val="0"/>
          <w:numId w:val="2"/>
        </w:numPr>
        <w:spacing w:after="40" w:before="40"/>
      </w:pPr>
      <w:r>
        <w:rPr>
          <w:rFonts w:ascii="Arial" w:cs="Arial" w:eastAsia="Arial" w:hAnsi="Arial"/>
          <w:b w:val="false"/>
          <w:bCs w:val="false"/>
          <w:sz w:val="22"/>
          <w:szCs w:val="22"/>
        </w:rPr>
        <w:t xml:space="preserve">Launch a targeted cashback re-engagement campaign (e.g., 5% back for first 3 months)</w:t>
      </w:r>
    </w:p>
    <w:p>
      <w:pPr>
        <w:pStyle w:val="ListParagraph"/>
        <w:numPr>
          <w:ilvl w:val="0"/>
          <w:numId w:val="2"/>
        </w:numPr>
        <w:spacing w:after="40" w:before="40"/>
      </w:pPr>
      <w:r>
        <w:rPr>
          <w:rFonts w:ascii="Arial" w:cs="Arial" w:eastAsia="Arial" w:hAnsi="Arial"/>
          <w:b w:val="false"/>
          <w:bCs w:val="false"/>
          <w:sz w:val="22"/>
          <w:szCs w:val="22"/>
        </w:rPr>
        <w:t xml:space="preserve">Deploy personalized spending challenges via mobile app with rewards</w:t>
      </w:r>
    </w:p>
    <w:p>
      <w:pPr>
        <w:pStyle w:val="ListParagraph"/>
        <w:numPr>
          <w:ilvl w:val="0"/>
          <w:numId w:val="2"/>
        </w:numPr>
        <w:spacing w:after="40" w:before="40"/>
      </w:pPr>
      <w:r>
        <w:rPr>
          <w:rFonts w:ascii="Arial" w:cs="Arial" w:eastAsia="Arial" w:hAnsi="Arial"/>
          <w:b w:val="false"/>
          <w:bCs w:val="false"/>
          <w:sz w:val="22"/>
          <w:szCs w:val="22"/>
        </w:rPr>
        <w:t xml:space="preserve">Identify sub-cohort of long-tenure inactive customers for loyalty win-back programs</w:t>
      </w:r>
    </w:p>
    <w:p>
      <w:pPr>
        <w:pStyle w:val="ListParagraph"/>
        <w:numPr>
          <w:ilvl w:val="0"/>
          <w:numId w:val="2"/>
        </w:numPr>
        <w:spacing w:after="40" w:before="40"/>
      </w:pPr>
      <w:r>
        <w:rPr>
          <w:rFonts w:ascii="Arial" w:cs="Arial" w:eastAsia="Arial" w:hAnsi="Arial"/>
          <w:b w:val="false"/>
          <w:bCs w:val="false"/>
          <w:sz w:val="22"/>
          <w:szCs w:val="22"/>
        </w:rPr>
        <w:t xml:space="preserve">Assess accounts with zero activity for 12+ months for card cancellation review</w:t>
      </w:r>
    </w:p>
    <w:p>
      <w:pPr>
        <w:spacing w:after="60" w:before="60"/>
      </w:pPr>
      <w:r>
        <w:rPr>
          <w:rFonts w:ascii="Arial" w:cs="Arial" w:eastAsia="Arial" w:hAnsi="Arial"/>
          <w:i/>
          <w:iCs/>
          <w:sz w:val="22"/>
          <w:szCs w:val="22"/>
        </w:rPr>
        <w:t xml:space="preserve">Revenue potential: A 10% activation rate (398 customers) spending at the Installment Buyer average ($1,900) would generate approximately $755,000 in annual transaction revenue.</w:t>
      </w:r>
    </w:p>
    <w:p>
      <w:r>
        <w:br w:type="page"/>
      </w:r>
    </w:p>
    <w:p>
      <w:pPr>
        <w:pStyle w:val="Heading1"/>
        <w:spacing w:after="120" w:before="300"/>
      </w:pPr>
      <w:r>
        <w:rPr>
          <w:rFonts w:ascii="Arial" w:cs="Arial" w:eastAsia="Arial" w:hAnsi="Arial"/>
          <w:b/>
          <w:bCs/>
          <w:color w:val="003366"/>
          <w:sz w:val="32"/>
          <w:szCs w:val="32"/>
        </w:rPr>
        <w:t xml:space="preserve">5. Portfolio Risk Assessment</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The segmentation reveals a differentiated risk profile across the portfolio. Risk is assessed along three dimensions: credit utilization, cash advance dependency, and full payment behavior.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80"/>
        <w:gridCol w:w="1680"/>
        <w:gridCol w:w="1680"/>
        <w:gridCol w:w="2220"/>
      </w:tblGrid>
      <w:tr>
        <w:trPr>
          <w:tblHeader/>
        </w:trPr>
        <w:tc>
          <w:tcPr>
            <w:tcW w:type="dxa" w:w="2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68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Credit Utilization</w:t>
            </w:r>
          </w:p>
        </w:tc>
        <w:tc>
          <w:tcPr>
            <w:tcW w:type="dxa" w:w="168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Cash Advance</w:t>
            </w:r>
          </w:p>
        </w:tc>
        <w:tc>
          <w:tcPr>
            <w:tcW w:type="dxa" w:w="168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Full Payment %</w:t>
            </w:r>
          </w:p>
        </w:tc>
        <w:tc>
          <w:tcPr>
            <w:tcW w:type="dxa" w:w="222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r>
      <w:tr>
        <w:tc>
          <w:tcPr>
            <w:tcW w:type="dxa" w:w="21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Spenders</w:t>
            </w:r>
          </w:p>
        </w:tc>
        <w:tc>
          <w:tcPr>
            <w:tcW w:type="dxa" w:w="16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Low–Medium</w:t>
            </w:r>
          </w:p>
        </w:tc>
        <w:tc>
          <w:tcPr>
            <w:tcW w:type="dxa" w:w="16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Very Low</w:t>
            </w:r>
          </w:p>
        </w:tc>
        <w:tc>
          <w:tcPr>
            <w:tcW w:type="dxa" w:w="168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2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LOW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Installment Buyers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2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LOW–MEDIUM</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Advance Users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 (~70%)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Very High</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Very Low</w:t>
            </w:r>
          </w:p>
        </w:tc>
        <w:tc>
          <w:tcPr>
            <w:tcW w:type="dxa" w:w="22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Inactive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Very 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Minimal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222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bCs/>
                <w:color w:val="4A148C"/>
                <w:sz w:val="20"/>
                <w:szCs w:val="20"/>
              </w:rPr>
              <w:t xml:space="preserve">CHURN RISK</w:t>
            </w:r>
          </w:p>
        </w:tc>
      </w:tr>
    </w:tbl>
    <w:p>
      <w:pPr>
        <w:spacing w:after="0" w:before="100"/>
      </w:pPr>
      <w:r>
        <w:t xml:space="preserve"/>
      </w:r>
    </w:p>
    <w:p>
      <w:pPr>
        <w:pStyle w:val="Heading2"/>
        <w:spacing w:after="80" w:before="220"/>
      </w:pPr>
      <w:r>
        <w:rPr>
          <w:rFonts w:ascii="Arial" w:cs="Arial" w:eastAsia="Arial" w:hAnsi="Arial"/>
          <w:b/>
          <w:bCs/>
          <w:color w:val="003366"/>
          <w:sz w:val="26"/>
          <w:szCs w:val="26"/>
        </w:rPr>
        <w:t xml:space="preserve">5.1 Key Risk Findings</w:t>
      </w:r>
    </w:p>
    <w:p>
      <w:pPr>
        <w:pStyle w:val="ListParagraph"/>
        <w:numPr>
          <w:ilvl w:val="0"/>
          <w:numId w:val="2"/>
        </w:numPr>
        <w:spacing w:after="40" w:before="40"/>
      </w:pPr>
      <w:r>
        <w:rPr>
          <w:rFonts w:ascii="Arial" w:cs="Arial" w:eastAsia="Arial" w:hAnsi="Arial"/>
          <w:b w:val="false"/>
          <w:bCs w:val="false"/>
          <w:sz w:val="22"/>
          <w:szCs w:val="22"/>
        </w:rPr>
        <w:t xml:space="preserve">Cash Advance Users (13.4%) represent the highest concentration of credit risk in the portfolio, with utilization rates approximately 2.3× the recommended 30% threshold</w:t>
      </w:r>
    </w:p>
    <w:p>
      <w:pPr>
        <w:pStyle w:val="ListParagraph"/>
        <w:numPr>
          <w:ilvl w:val="0"/>
          <w:numId w:val="2"/>
        </w:numPr>
        <w:spacing w:after="40" w:before="40"/>
      </w:pPr>
      <w:r>
        <w:rPr>
          <w:rFonts w:ascii="Arial" w:cs="Arial" w:eastAsia="Arial" w:hAnsi="Arial"/>
          <w:b w:val="false"/>
          <w:bCs w:val="false"/>
          <w:sz w:val="22"/>
          <w:szCs w:val="22"/>
        </w:rPr>
        <w:t xml:space="preserve">Inactive customers (44.4%) present churn risk — prolonged dormancy often precedes account closure or card abandonment</w:t>
      </w:r>
    </w:p>
    <w:p>
      <w:pPr>
        <w:pStyle w:val="ListParagraph"/>
        <w:numPr>
          <w:ilvl w:val="0"/>
          <w:numId w:val="2"/>
        </w:numPr>
        <w:spacing w:after="40" w:before="40"/>
      </w:pPr>
      <w:r>
        <w:rPr>
          <w:rFonts w:ascii="Arial" w:cs="Arial" w:eastAsia="Arial" w:hAnsi="Arial"/>
          <w:b w:val="false"/>
          <w:bCs w:val="false"/>
          <w:sz w:val="22"/>
          <w:szCs w:val="22"/>
        </w:rPr>
        <w:t xml:space="preserve">High Spenders show the lowest risk profile: high limits, low utilization relative to spending, and high full-payment rates</w:t>
      </w:r>
    </w:p>
    <w:p>
      <w:pPr>
        <w:pStyle w:val="ListParagraph"/>
        <w:numPr>
          <w:ilvl w:val="0"/>
          <w:numId w:val="2"/>
        </w:numPr>
        <w:spacing w:after="40" w:before="40"/>
      </w:pPr>
      <w:r>
        <w:rPr>
          <w:rFonts w:ascii="Arial" w:cs="Arial" w:eastAsia="Arial" w:hAnsi="Arial"/>
          <w:b w:val="false"/>
          <w:bCs w:val="false"/>
          <w:sz w:val="22"/>
          <w:szCs w:val="22"/>
        </w:rPr>
        <w:t xml:space="preserve">Overall portfolio risk is moderate but concentrated — the top 13% of customers by risk contribute disproportionately to potential loss exposure</w:t>
      </w:r>
    </w:p>
    <w:p>
      <w:r>
        <w:br w:type="page"/>
      </w:r>
    </w:p>
    <w:p>
      <w:pPr>
        <w:pStyle w:val="Heading1"/>
        <w:spacing w:after="120" w:before="300"/>
      </w:pPr>
      <w:r>
        <w:rPr>
          <w:rFonts w:ascii="Arial" w:cs="Arial" w:eastAsia="Arial" w:hAnsi="Arial"/>
          <w:b/>
          <w:bCs/>
          <w:color w:val="003366"/>
          <w:sz w:val="32"/>
          <w:szCs w:val="32"/>
        </w:rPr>
        <w:t xml:space="preserve">6. Strategic Recommendations &amp; Action Plan</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Based on the segmentation findings, the following priority actions are recommended for the Credit Card Products team. Actions are sequenced by revenue impact and implementation speed.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160"/>
        <w:gridCol w:w="2700"/>
      </w:tblGrid>
      <w:tr>
        <w:trPr>
          <w:tblHeader/>
        </w:trPr>
        <w:tc>
          <w:tcPr>
            <w:tcW w:type="dxa" w:w="21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1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27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Outcome</w:t>
            </w:r>
          </w:p>
        </w:tc>
      </w:tr>
      <w:tr>
        <w:tc>
          <w:tcPr>
            <w:tcW w:type="dxa" w:w="21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Spenders</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Prestige Rewards Card</w:t>
            </w:r>
          </w:p>
        </w:tc>
        <w:tc>
          <w:tcPr>
            <w:tcW w:type="dxa" w:w="21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Q1 2025</w:t>
            </w:r>
          </w:p>
        </w:tc>
        <w:tc>
          <w:tcPr>
            <w:tcW w:type="dxa" w:w="27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spend by 20%+ per customer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Installment Buyers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EMI on 6/12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Q1–Q2 2025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rise in installment volume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Cash Advance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loan at preferential 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Q2 2025</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default risk; add loan rev.</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Cashback re-engagement campaign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Q1 2025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Activate 10% = ~$400K annual rev.</w:t>
            </w:r>
          </w:p>
        </w:tc>
      </w:tr>
    </w:tbl>
    <w:p>
      <w:pPr>
        <w:spacing w:after="0" w:before="100"/>
      </w:pPr>
      <w:r>
        <w:t xml:space="preserve"/>
      </w:r>
    </w:p>
    <w:p>
      <w:pPr>
        <w:pStyle w:val="Heading2"/>
        <w:spacing w:after="80" w:before="220"/>
      </w:pPr>
      <w:r>
        <w:rPr>
          <w:rFonts w:ascii="Arial" w:cs="Arial" w:eastAsia="Arial" w:hAnsi="Arial"/>
          <w:b/>
          <w:bCs/>
          <w:color w:val="003366"/>
          <w:sz w:val="26"/>
          <w:szCs w:val="26"/>
        </w:rPr>
        <w:t xml:space="preserve">6.1 Portfolio-Wide Opportunity</w:t>
      </w:r>
    </w:p>
    <w:p>
      <w:pPr>
        <w:spacing w:after="60" w:before="60"/>
      </w:pPr>
      <w:r>
        <w:rPr>
          <w:rFonts w:ascii="Arial" w:cs="Arial" w:eastAsia="Arial" w:hAnsi="Arial"/>
          <w:sz w:val="22"/>
          <w:szCs w:val="22"/>
        </w:rPr>
        <w:t xml:space="preserve">Irrespective of segment, a portfolio-wide insight demands attention: the average purchase-to-credit-limit ratio sits at 22%. This means 78% of credit capacity is going unused across 8,950 accounts. Even a 5-percentage-point improvement in utilization — from 22% to 27% — would represent a meaningful uplift in interchange revenue.</w:t>
      </w:r>
    </w:p>
    <w:p>
      <w:pPr>
        <w:spacing w:after="0" w:before="60"/>
      </w:pPr>
      <w:r>
        <w:t xml:space="preserve"/>
      </w:r>
    </w:p>
    <w:p>
      <w:pPr>
        <w:spacing w:after="60" w:before="60"/>
      </w:pPr>
      <w:r>
        <w:rPr>
          <w:rFonts w:ascii="Arial" w:cs="Arial" w:eastAsia="Arial" w:hAnsi="Arial"/>
          <w:sz w:val="22"/>
          <w:szCs w:val="22"/>
        </w:rPr>
        <w:t xml:space="preserve">Recommended portfolio-wide initiative: a data-driven spend activation campaign, deploying personalized offers to each segment based on their behavioral profile, rather than a single mass-market promotion.</w:t>
      </w:r>
    </w:p>
    <w:p>
      <w:r>
        <w:br w:type="page"/>
      </w:r>
    </w:p>
    <w:p>
      <w:pPr>
        <w:pStyle w:val="Heading1"/>
        <w:spacing w:after="120" w:before="300"/>
      </w:pPr>
      <w:r>
        <w:rPr>
          <w:rFonts w:ascii="Arial" w:cs="Arial" w:eastAsia="Arial" w:hAnsi="Arial"/>
          <w:b/>
          <w:bCs/>
          <w:color w:val="003366"/>
          <w:sz w:val="32"/>
          <w:szCs w:val="32"/>
        </w:rPr>
        <w:t xml:space="preserve">7. Dashboard &amp; Visualization Summary</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A total of nine visualizations were produced as part of this analysis — eight in Jupyter Notebook and one interactive Power BI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2380"/>
        <w:gridCol w:w="4000"/>
      </w:tblGrid>
      <w:tr>
        <w:trPr>
          <w:tblHeader/>
        </w:trPr>
        <w:tc>
          <w:tcPr>
            <w:tcW w:type="dxa" w:w="48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Chart</w:t>
            </w:r>
          </w:p>
        </w:tc>
        <w:tc>
          <w:tcPr>
            <w:tcW w:type="dxa" w:w="238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Values Heatmap</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Heatmap</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MINIMUM_PAYMENTS has 3.5% nulls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Distributions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Histogram Grid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Right-skewed spend and balance data</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Heatmap</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Map</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Purchases &amp; OneOff correlated at 0.92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Elbow Curve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 Chart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Optimal k = 4 clusters confirmed</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PCA Cluster Scatter</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Scatter Plot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distinct clouds — clean separation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Metrics by Segment</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Bar Chart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Spenders dominate purchase volume</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Balance/Purchase Boxplots</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Boxplot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Advance Users: outlier balances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Segment Pie + Summary Table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Pie + 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44.4% inactive — largest single segment</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PBI</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 BI Dashboard</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visuals + segment slicer for drill-down</w:t>
            </w:r>
          </w:p>
        </w:tc>
      </w:tr>
    </w:tbl>
    <w:p>
      <w:r>
        <w:br w:type="page"/>
      </w:r>
    </w:p>
    <w:p>
      <w:pPr>
        <w:pStyle w:val="Heading1"/>
        <w:spacing w:after="120" w:before="300"/>
      </w:pPr>
      <w:r>
        <w:rPr>
          <w:rFonts w:ascii="Arial" w:cs="Arial" w:eastAsia="Arial" w:hAnsi="Arial"/>
          <w:b/>
          <w:bCs/>
          <w:color w:val="003366"/>
          <w:sz w:val="32"/>
          <w:szCs w:val="32"/>
        </w:rPr>
        <w:t xml:space="preserve">8. Conclusions</w:t>
      </w:r>
    </w:p>
    <w:p>
      <w:pPr>
        <w:pBdr>
          <w:bottom w:val="single" w:color="003366" w:sz="6" w:space="1"/>
        </w:pBdr>
        <w:spacing w:after="80" w:before="80"/>
      </w:pPr>
      <w:r>
        <w:t xml:space="preserve"/>
      </w:r>
    </w:p>
    <w:p>
      <w:pPr>
        <w:spacing w:after="60" w:before="60"/>
      </w:pPr>
      <w:r>
        <w:rPr>
          <w:rFonts w:ascii="Arial" w:cs="Arial" w:eastAsia="Arial" w:hAnsi="Arial"/>
          <w:sz w:val="22"/>
          <w:szCs w:val="22"/>
        </w:rPr>
        <w:t xml:space="preserve">This analysis successfully segments Goldman Sachs' 8,950 credit card customers into four actionable behavioral cohorts using machine learning. The findings challenge a uniform marketing approach and provide clear, data-backed justification for differentiated product strategies.</w:t>
      </w:r>
    </w:p>
    <w:p>
      <w:pPr>
        <w:spacing w:after="0" w:before="60"/>
      </w:pPr>
      <w:r>
        <w:t xml:space="preserve"/>
      </w:r>
    </w:p>
    <w:p>
      <w:pPr>
        <w:spacing w:after="60" w:before="60"/>
      </w:pPr>
      <w:r>
        <w:rPr>
          <w:rFonts w:ascii="Arial" w:cs="Arial" w:eastAsia="Arial" w:hAnsi="Arial"/>
          <w:sz w:val="22"/>
          <w:szCs w:val="22"/>
        </w:rPr>
        <w:t xml:space="preserve">The most urgent business priority is the Inactive segment — at 44.4% of the portfolio, even modest re-engagement yields significant revenue. The most strategically valuable opportunity is the High Spender segment, where premium product offerings can deepen relationships with the bank's most creditworthy customers.</w:t>
      </w:r>
    </w:p>
    <w:p>
      <w:pPr>
        <w:spacing w:after="0" w:before="60"/>
      </w:pPr>
      <w:r>
        <w:t xml:space="preserve"/>
      </w:r>
    </w:p>
    <w:p>
      <w:pPr>
        <w:spacing w:after="60" w:before="60"/>
      </w:pPr>
      <w:r>
        <w:rPr>
          <w:rFonts w:ascii="Arial" w:cs="Arial" w:eastAsia="Arial" w:hAnsi="Arial"/>
          <w:sz w:val="22"/>
          <w:szCs w:val="22"/>
        </w:rPr>
        <w:t xml:space="preserve">The Cash Advance User segment requires immediate risk management attention. Their utilization profile, if left unaddressed, poses the most concentrated default risk in the portfolio.</w:t>
      </w:r>
    </w:p>
    <w:p>
      <w:pPr>
        <w:spacing w:after="0" w:before="80"/>
      </w:pPr>
      <w:r>
        <w:t xml:space="preserve"/>
      </w:r>
    </w:p>
    <w:p>
      <w:pPr>
        <w:pStyle w:val="Heading2"/>
        <w:spacing w:after="80" w:before="220"/>
      </w:pPr>
      <w:r>
        <w:rPr>
          <w:rFonts w:ascii="Arial" w:cs="Arial" w:eastAsia="Arial" w:hAnsi="Arial"/>
          <w:b/>
          <w:bCs/>
          <w:color w:val="003366"/>
          <w:sz w:val="26"/>
          <w:szCs w:val="26"/>
        </w:rPr>
        <w:t xml:space="preserve">8.1 Next Steps</w:t>
      </w:r>
    </w:p>
    <w:p>
      <w:pPr>
        <w:pStyle w:val="ListParagraph"/>
        <w:numPr>
          <w:ilvl w:val="0"/>
          <w:numId w:val="2"/>
        </w:numPr>
        <w:spacing w:after="40" w:before="40"/>
      </w:pPr>
      <w:r>
        <w:rPr>
          <w:rFonts w:ascii="Arial" w:cs="Arial" w:eastAsia="Arial" w:hAnsi="Arial"/>
          <w:b/>
          <w:bCs/>
          <w:sz w:val="22"/>
          <w:szCs w:val="22"/>
        </w:rPr>
        <w:t xml:space="preserve">Present findings to Credit Card Product leadership for campaign sign-off</w:t>
      </w:r>
    </w:p>
    <w:p>
      <w:pPr>
        <w:pStyle w:val="ListParagraph"/>
        <w:numPr>
          <w:ilvl w:val="0"/>
          <w:numId w:val="2"/>
        </w:numPr>
        <w:spacing w:after="40" w:before="40"/>
      </w:pPr>
      <w:r>
        <w:rPr>
          <w:rFonts w:ascii="Arial" w:cs="Arial" w:eastAsia="Arial" w:hAnsi="Arial"/>
          <w:b w:val="false"/>
          <w:bCs w:val="false"/>
          <w:sz w:val="22"/>
          <w:szCs w:val="22"/>
        </w:rPr>
        <w:t xml:space="preserve">Build propensity models within each segment to identify the highest-value targets for each campaign</w:t>
      </w:r>
    </w:p>
    <w:p>
      <w:pPr>
        <w:pStyle w:val="ListParagraph"/>
        <w:numPr>
          <w:ilvl w:val="0"/>
          <w:numId w:val="2"/>
        </w:numPr>
        <w:spacing w:after="40" w:before="40"/>
      </w:pPr>
      <w:r>
        <w:rPr>
          <w:rFonts w:ascii="Arial" w:cs="Arial" w:eastAsia="Arial" w:hAnsi="Arial"/>
          <w:b w:val="false"/>
          <w:bCs w:val="false"/>
          <w:sz w:val="22"/>
          <w:szCs w:val="22"/>
        </w:rPr>
        <w:t xml:space="preserve">A/B test the re-engagement cashback offer against a control group before full rollout</w:t>
      </w:r>
    </w:p>
    <w:p>
      <w:pPr>
        <w:pStyle w:val="ListParagraph"/>
        <w:numPr>
          <w:ilvl w:val="0"/>
          <w:numId w:val="2"/>
        </w:numPr>
        <w:spacing w:after="40" w:before="40"/>
      </w:pPr>
      <w:r>
        <w:rPr>
          <w:rFonts w:ascii="Arial" w:cs="Arial" w:eastAsia="Arial" w:hAnsi="Arial"/>
          <w:b w:val="false"/>
          <w:bCs w:val="false"/>
          <w:sz w:val="22"/>
          <w:szCs w:val="22"/>
        </w:rPr>
        <w:t xml:space="preserve">Monitor segment membership quarterly — customers can shift segments as behavior changes</w:t>
      </w:r>
    </w:p>
    <w:p>
      <w:pPr>
        <w:pStyle w:val="ListParagraph"/>
        <w:numPr>
          <w:ilvl w:val="0"/>
          <w:numId w:val="2"/>
        </w:numPr>
        <w:spacing w:after="40" w:before="40"/>
      </w:pPr>
      <w:r>
        <w:rPr>
          <w:rFonts w:ascii="Arial" w:cs="Arial" w:eastAsia="Arial" w:hAnsi="Arial"/>
          <w:b w:val="false"/>
          <w:bCs w:val="false"/>
          <w:sz w:val="22"/>
          <w:szCs w:val="22"/>
        </w:rPr>
        <w:t xml:space="preserve">Expand the model to include demographic data (age, income band) for richer sub-segment targeting</w:t>
      </w:r>
    </w:p>
    <w:p>
      <w:pPr>
        <w:spacing w:after="0" w:before="100"/>
      </w:pPr>
      <w:r>
        <w:t xml:space="preserve"/>
      </w:r>
    </w:p>
    <w:p>
      <w:pPr>
        <w:pBdr>
          <w:bottom w:val="single" w:color="003366" w:sz="6" w:space="1"/>
        </w:pBdr>
        <w:spacing w:after="80" w:before="80"/>
      </w:pPr>
      <w:r>
        <w:t xml:space="preserve"/>
      </w:r>
    </w:p>
    <w:p>
      <w:pPr>
        <w:spacing w:after="40" w:before="80"/>
        <w:jc w:val="center"/>
      </w:pPr>
      <w:r>
        <w:rPr>
          <w:rFonts w:ascii="Arial" w:cs="Arial" w:eastAsia="Arial" w:hAnsi="Arial"/>
          <w:b/>
          <w:bCs/>
          <w:color w:val="888888"/>
          <w:sz w:val="18"/>
          <w:szCs w:val="18"/>
        </w:rPr>
        <w:t xml:space="preserve">GOLDMAN SACHS  |  Data Science &amp; Analytics Division</w:t>
      </w:r>
    </w:p>
    <w:p>
      <w:pPr>
        <w:jc w:val="center"/>
      </w:pPr>
      <w:r>
        <w:rPr>
          <w:rFonts w:ascii="Arial" w:cs="Arial" w:eastAsia="Arial" w:hAnsi="Arial"/>
          <w:i/>
          <w:iCs/>
          <w:color w:val="AAAAAA"/>
          <w:sz w:val="16"/>
          <w:szCs w:val="16"/>
        </w:rPr>
        <w:t xml:space="preserve">This report was produced using Python, Scikit-learn, and Power BI on the Kaggle Credit Card Dataset for Clustering.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spacing w:before="80"/>
    </w:pPr>
    <w:r>
      <w:rPr>
        <w:rFonts w:ascii="Arial" w:cs="Arial" w:eastAsia="Arial" w:hAnsi="Arial"/>
        <w:color w:val="888888"/>
        <w:sz w:val="16"/>
        <w:szCs w:val="16"/>
      </w:rPr>
      <w:t xml:space="preserve">Goldman Sachs Credit Card Analytics  •  Data Science Division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spacing w:after="100"/>
    </w:pPr>
    <w:r>
      <w:rPr>
        <w:rFonts w:ascii="Arial" w:cs="Arial" w:eastAsia="Arial" w:hAnsi="Arial"/>
        <w:color w:val="888888"/>
        <w:sz w:val="16"/>
        <w:szCs w:val="16"/>
      </w:rPr>
      <w:t xml:space="preserve">GOLDMAN SACHS  |  Customer Segmentation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366"/>
      <w:sz w:val="32"/>
      <w:szCs w:val="32"/>
    </w:rPr>
  </w:style>
  <w:style w:type="paragraph" w:styleId="Heading2">
    <w:name w:val="Heading 2"/>
    <w:basedOn w:val="Normal"/>
    <w:next w:val="Normal"/>
    <w:qFormat/>
    <w:pPr>
      <w:spacing w:after="80" w:before="220"/>
      <w:outlineLvl w:val="1"/>
    </w:pPr>
    <w:rPr>
      <w:rFonts w:ascii="Arial" w:cs="Arial" w:eastAsia="Arial" w:hAnsi="Arial"/>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2026-04-04T05:22:37.986Z</dcterms:created>
  <dcterms:modified xsi:type="dcterms:W3CDTF">2026-04-04T05:22:37.987Z</dcterms:modified>
</cp:coreProperties>
</file>

<file path=docProps/custom.xml><?xml version="1.0" encoding="utf-8"?>
<Properties xmlns="http://schemas.openxmlformats.org/officeDocument/2006/custom-properties" xmlns:vt="http://schemas.openxmlformats.org/officeDocument/2006/docPropsVTypes"/>
</file>