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9D4AD0" w:rsidR="00F05E9F" w:rsidRDefault="009D3774">
      <w:pPr>
        <w:spacing w:after="0" w:line="240" w:lineRule="auto"/>
        <w:jc w:val="both"/>
      </w:pPr>
      <w:r>
        <w:t>GLYCAEMIA AND PERFORMANCE METRICS OF PROFESSIONAL CYCLISTS LIVING WITH TYPE 1 DIABETES OVER AN ENTIRE RACE CALENDAR</w:t>
      </w:r>
    </w:p>
    <w:p w14:paraId="00000002" w14:textId="77777777" w:rsidR="00F05E9F" w:rsidRDefault="00F05E9F">
      <w:pPr>
        <w:spacing w:after="0" w:line="240" w:lineRule="auto"/>
        <w:jc w:val="both"/>
      </w:pPr>
    </w:p>
    <w:p w14:paraId="00000003" w14:textId="77777777" w:rsidR="00F05E9F" w:rsidRDefault="00F05E9F">
      <w:pPr>
        <w:spacing w:after="0" w:line="240" w:lineRule="auto"/>
        <w:jc w:val="both"/>
      </w:pPr>
    </w:p>
    <w:p w14:paraId="00000004" w14:textId="77777777" w:rsidR="00F05E9F" w:rsidRDefault="006234A5">
      <w:pPr>
        <w:spacing w:after="0" w:line="240" w:lineRule="auto"/>
        <w:jc w:val="both"/>
        <w:rPr>
          <w:color w:val="222222"/>
        </w:rPr>
      </w:pPr>
      <w:r>
        <w:rPr>
          <w:color w:val="222222"/>
        </w:rPr>
        <w:t xml:space="preserve">Authors: </w:t>
      </w:r>
    </w:p>
    <w:p w14:paraId="00000005" w14:textId="77777777" w:rsidR="00F05E9F" w:rsidRDefault="006234A5">
      <w:pPr>
        <w:spacing w:after="0" w:line="240" w:lineRule="auto"/>
        <w:jc w:val="both"/>
        <w:rPr>
          <w:color w:val="222222"/>
          <w:vertAlign w:val="superscript"/>
        </w:rPr>
      </w:pPr>
      <w:r>
        <w:rPr>
          <w:b/>
          <w:color w:val="222222"/>
        </w:rPr>
        <w:t>Sam N Scott</w:t>
      </w:r>
      <w:r>
        <w:rPr>
          <w:b/>
          <w:color w:val="222222"/>
          <w:vertAlign w:val="superscript"/>
        </w:rPr>
        <w:t>1, 2</w:t>
      </w:r>
      <w:r>
        <w:rPr>
          <w:b/>
          <w:color w:val="222222"/>
        </w:rPr>
        <w:t>;</w:t>
      </w:r>
      <w:r>
        <w:rPr>
          <w:color w:val="222222"/>
        </w:rPr>
        <w:t xml:space="preserve"> Eva van Weenen</w:t>
      </w:r>
      <w:r>
        <w:rPr>
          <w:color w:val="222222"/>
          <w:vertAlign w:val="superscript"/>
        </w:rPr>
        <w:t>3</w:t>
      </w:r>
      <w:r>
        <w:rPr>
          <w:color w:val="222222"/>
        </w:rPr>
        <w:t>; Federico Y Fontana</w:t>
      </w:r>
      <w:r>
        <w:rPr>
          <w:color w:val="222222"/>
          <w:vertAlign w:val="superscript"/>
        </w:rPr>
        <w:t>1, 2</w:t>
      </w:r>
      <w:r>
        <w:rPr>
          <w:color w:val="222222"/>
        </w:rPr>
        <w:t>; Kristina Skroce</w:t>
      </w:r>
      <w:r>
        <w:rPr>
          <w:color w:val="222222"/>
          <w:vertAlign w:val="superscript"/>
        </w:rPr>
        <w:t>2</w:t>
      </w:r>
      <w:r>
        <w:rPr>
          <w:color w:val="222222"/>
        </w:rPr>
        <w:t>; Thomas Züger</w:t>
      </w:r>
      <w:r>
        <w:rPr>
          <w:color w:val="222222"/>
          <w:vertAlign w:val="superscript"/>
        </w:rPr>
        <w:t xml:space="preserve">1, 3; </w:t>
      </w:r>
      <w:r>
        <w:rPr>
          <w:color w:val="222222"/>
        </w:rPr>
        <w:t>Mathias Kraus</w:t>
      </w:r>
      <w:r>
        <w:rPr>
          <w:color w:val="222222"/>
          <w:vertAlign w:val="superscript"/>
        </w:rPr>
        <w:t>3</w:t>
      </w:r>
      <w:r>
        <w:rPr>
          <w:color w:val="222222"/>
        </w:rPr>
        <w:t>; Charlotte A Hayes</w:t>
      </w:r>
      <w:r>
        <w:rPr>
          <w:color w:val="222222"/>
          <w:vertAlign w:val="superscript"/>
        </w:rPr>
        <w:t>2</w:t>
      </w:r>
      <w:r>
        <w:rPr>
          <w:color w:val="222222"/>
        </w:rPr>
        <w:t xml:space="preserve">; </w:t>
      </w:r>
      <w:r>
        <w:t>Stefan Feuerriegel</w:t>
      </w:r>
      <w:r>
        <w:rPr>
          <w:vertAlign w:val="superscript"/>
        </w:rPr>
        <w:t>3</w:t>
      </w:r>
      <w:r>
        <w:t xml:space="preserve"> Felix Wortmann</w:t>
      </w:r>
      <w:r>
        <w:rPr>
          <w:vertAlign w:val="superscript"/>
        </w:rPr>
        <w:t>3, 4</w:t>
      </w:r>
      <w:r>
        <w:t xml:space="preserve"> &amp; </w:t>
      </w:r>
      <w:r>
        <w:rPr>
          <w:color w:val="222222"/>
        </w:rPr>
        <w:t>Christoph Stettler</w:t>
      </w:r>
      <w:r>
        <w:rPr>
          <w:color w:val="222222"/>
          <w:vertAlign w:val="superscript"/>
        </w:rPr>
        <w:t>1</w:t>
      </w:r>
    </w:p>
    <w:p w14:paraId="00000006" w14:textId="77777777" w:rsidR="00F05E9F" w:rsidRDefault="00F05E9F">
      <w:pPr>
        <w:spacing w:after="0" w:line="240" w:lineRule="auto"/>
        <w:jc w:val="both"/>
        <w:rPr>
          <w:color w:val="222222"/>
          <w:vertAlign w:val="superscript"/>
        </w:rPr>
      </w:pPr>
    </w:p>
    <w:p w14:paraId="00000007" w14:textId="77777777" w:rsidR="00F05E9F" w:rsidRDefault="00F05E9F">
      <w:pPr>
        <w:spacing w:after="0" w:line="240" w:lineRule="auto"/>
        <w:jc w:val="both"/>
      </w:pPr>
    </w:p>
    <w:p w14:paraId="00000008" w14:textId="77777777" w:rsidR="00F05E9F" w:rsidRDefault="006234A5">
      <w:pPr>
        <w:spacing w:after="0" w:line="240" w:lineRule="auto"/>
        <w:jc w:val="both"/>
      </w:pPr>
      <w:r>
        <w:rPr>
          <w:vertAlign w:val="superscript"/>
        </w:rPr>
        <w:t>1</w:t>
      </w:r>
      <w:r>
        <w:t>Department of Diabetes, Endocrinology, Nutritional Medicine and Metabolism, Bern University Hospital, University of Bern, Bern, Switzerland</w:t>
      </w:r>
    </w:p>
    <w:p w14:paraId="00000009" w14:textId="77777777" w:rsidR="00F05E9F" w:rsidRDefault="006234A5">
      <w:pPr>
        <w:spacing w:after="0" w:line="240" w:lineRule="auto"/>
        <w:jc w:val="both"/>
      </w:pPr>
      <w:r>
        <w:rPr>
          <w:vertAlign w:val="superscript"/>
        </w:rPr>
        <w:t>2</w:t>
      </w:r>
      <w:r>
        <w:t>Team Novo Nordisk Professional Cycling Team, Atl</w:t>
      </w:r>
      <w:r>
        <w:t>anta, GA, USA</w:t>
      </w:r>
    </w:p>
    <w:p w14:paraId="0000000A" w14:textId="77777777" w:rsidR="00F05E9F" w:rsidRDefault="006234A5">
      <w:pPr>
        <w:spacing w:after="0" w:line="240" w:lineRule="auto"/>
        <w:jc w:val="both"/>
      </w:pPr>
      <w:r>
        <w:rPr>
          <w:vertAlign w:val="superscript"/>
        </w:rPr>
        <w:t>3</w:t>
      </w:r>
      <w:r>
        <w:t>Department of Management, Technology, and Economics, ETH Zurich, Zurich, Switzerland</w:t>
      </w:r>
    </w:p>
    <w:p w14:paraId="0000000B" w14:textId="77777777" w:rsidR="00F05E9F" w:rsidRDefault="006234A5">
      <w:pPr>
        <w:spacing w:after="0" w:line="240" w:lineRule="auto"/>
        <w:jc w:val="both"/>
      </w:pPr>
      <w:r>
        <w:rPr>
          <w:vertAlign w:val="superscript"/>
        </w:rPr>
        <w:t>4</w:t>
      </w:r>
      <w:r>
        <w:t>Bosch Internet of Things Lab, University of St. Gallen, Switzerland</w:t>
      </w:r>
    </w:p>
    <w:p w14:paraId="0000000C" w14:textId="77777777" w:rsidR="00F05E9F" w:rsidRDefault="00F05E9F">
      <w:pPr>
        <w:spacing w:after="0" w:line="240" w:lineRule="auto"/>
        <w:jc w:val="both"/>
      </w:pPr>
    </w:p>
    <w:p w14:paraId="0000000D" w14:textId="77777777" w:rsidR="00F05E9F" w:rsidRDefault="00F05E9F">
      <w:pPr>
        <w:spacing w:after="0" w:line="240" w:lineRule="auto"/>
        <w:jc w:val="both"/>
      </w:pPr>
    </w:p>
    <w:p w14:paraId="0000000E" w14:textId="77777777" w:rsidR="00F05E9F" w:rsidRDefault="00F05E9F">
      <w:pPr>
        <w:spacing w:after="0" w:line="240" w:lineRule="auto"/>
        <w:jc w:val="both"/>
        <w:rPr>
          <w:rFonts w:ascii="Lato" w:eastAsia="Lato" w:hAnsi="Lato" w:cs="Lato"/>
        </w:rPr>
      </w:pPr>
    </w:p>
    <w:p w14:paraId="0000000F" w14:textId="7F4C018C" w:rsidR="00F05E9F" w:rsidRDefault="006234A5">
      <w:pPr>
        <w:spacing w:after="0" w:line="240" w:lineRule="auto"/>
        <w:jc w:val="both"/>
      </w:pPr>
      <w:r>
        <w:t>Objective and background: Hypoglycemia during and after exercise is an important iss</w:t>
      </w:r>
      <w:r>
        <w:t xml:space="preserve">ue </w:t>
      </w:r>
      <w:r>
        <w:rPr>
          <w:color w:val="000000"/>
        </w:rPr>
        <w:t>for people living with type 1 diabetes (T1D)</w:t>
      </w:r>
      <w:r>
        <w:t xml:space="preserve">. This study will use performance- and diabetes-related data from the Team Novo Nordisk (TNN) professional cyclists to achieve the following: 1) summarize training load and glycemic variables </w:t>
      </w:r>
      <w:r>
        <w:t xml:space="preserve">over an entire year; 2) </w:t>
      </w:r>
      <w:sdt>
        <w:sdtPr>
          <w:tag w:val="goog_rdk_0"/>
          <w:id w:val="-2079358039"/>
        </w:sdtPr>
        <w:sdtEndPr/>
        <w:sdtContent/>
      </w:sdt>
      <w:r>
        <w:t xml:space="preserve">use machine learning </w:t>
      </w:r>
      <w:r w:rsidR="009D3774">
        <w:rPr>
          <w:color w:val="000000"/>
        </w:rPr>
        <w:t>to develop a warning system to predict dysglycemia post-exercise</w:t>
      </w:r>
      <w:r w:rsidR="009D3774">
        <w:rPr>
          <w:color w:val="000000"/>
        </w:rPr>
        <w:t>.</w:t>
      </w:r>
    </w:p>
    <w:p w14:paraId="00000010" w14:textId="77777777" w:rsidR="00F05E9F" w:rsidRDefault="00F05E9F">
      <w:pPr>
        <w:spacing w:after="0" w:line="240" w:lineRule="auto"/>
        <w:jc w:val="both"/>
      </w:pPr>
    </w:p>
    <w:p w14:paraId="00000011" w14:textId="5794CFB1" w:rsidR="00F05E9F" w:rsidRDefault="006234A5">
      <w:pPr>
        <w:spacing w:after="0" w:line="240" w:lineRule="auto"/>
        <w:jc w:val="both"/>
      </w:pPr>
      <w:r>
        <w:t>Methods: First, we will evaluate factors related to glycemic management and performance in 11 male profe</w:t>
      </w:r>
      <w:r>
        <w:t>ssional cyclists with T1D from 1</w:t>
      </w:r>
      <w:r>
        <w:rPr>
          <w:vertAlign w:val="superscript"/>
        </w:rPr>
        <w:t>st</w:t>
      </w:r>
      <w:r>
        <w:t xml:space="preserve"> Dec 2018 to 30</w:t>
      </w:r>
      <w:r>
        <w:rPr>
          <w:vertAlign w:val="superscript"/>
        </w:rPr>
        <w:t>th</w:t>
      </w:r>
      <w:r>
        <w:t xml:space="preserve"> Nov 2019. Metrics related to glycemia will be determined using continuous glucose monitoring (Dexcom G6, San Diego, CA). Training sessions and races are logged using a Wahoo GPS cycle computer (Wahoo Fitn</w:t>
      </w:r>
      <w:r>
        <w:t xml:space="preserve">ess, Atlanta, GA) to monitor power output (W), cadence (rpm), temperature (°C), speed (km/h), elevation (m), </w:t>
      </w:r>
      <w:r w:rsidR="009D3774">
        <w:t>distance (km), duration (h:min:</w:t>
      </w:r>
      <w:r>
        <w:t xml:space="preserve">s) and energy expenditure (kcal). Heart rate </w:t>
      </w:r>
      <w:r w:rsidR="009D3774">
        <w:t xml:space="preserve">(bpm) </w:t>
      </w:r>
      <w:r>
        <w:t xml:space="preserve">is determined </w:t>
      </w:r>
      <w:r>
        <w:t>(Wahoo, Wahoof</w:t>
      </w:r>
      <w:r>
        <w:t xml:space="preserve">itness, Atlanta, GA) </w:t>
      </w:r>
      <w:r>
        <w:t xml:space="preserve">during all exercise sessions. Second, </w:t>
      </w:r>
      <w:r>
        <w:t xml:space="preserve">a </w:t>
      </w:r>
      <w:r>
        <w:t>machine learning</w:t>
      </w:r>
      <w:r>
        <w:t xml:space="preserve"> model</w:t>
      </w:r>
      <w:r>
        <w:t xml:space="preserve"> that is trained on this dataset will be used to develop a warning system to predict dysglyaemia (hypoglycemia, hyperglycemia, rapid changes in blood glucose) in both the short (&lt;30 min) and longer term (6-8 h)</w:t>
      </w:r>
      <w:r w:rsidR="009D3774">
        <w:t>, with a particular focus on the nocturnal period,</w:t>
      </w:r>
      <w:r>
        <w:t xml:space="preserve"> post-exercise.</w:t>
      </w:r>
    </w:p>
    <w:p w14:paraId="00000012" w14:textId="77777777" w:rsidR="00F05E9F" w:rsidRDefault="00F05E9F">
      <w:pPr>
        <w:spacing w:after="0" w:line="240" w:lineRule="auto"/>
        <w:jc w:val="both"/>
      </w:pPr>
    </w:p>
    <w:p w14:paraId="00000013" w14:textId="02F08F5C" w:rsidR="00F05E9F" w:rsidRDefault="006234A5">
      <w:pPr>
        <w:spacing w:after="0" w:line="240" w:lineRule="auto"/>
        <w:jc w:val="both"/>
      </w:pPr>
      <w:r>
        <w:t xml:space="preserve">Results: Data interpretation </w:t>
      </w:r>
      <w:r>
        <w:t xml:space="preserve">and analysis is </w:t>
      </w:r>
      <w:r>
        <w:t xml:space="preserve">currently ongoing. </w:t>
      </w:r>
    </w:p>
    <w:p w14:paraId="00000014" w14:textId="77777777" w:rsidR="00F05E9F" w:rsidRDefault="00F05E9F">
      <w:pPr>
        <w:spacing w:after="0" w:line="240" w:lineRule="auto"/>
        <w:jc w:val="both"/>
      </w:pPr>
    </w:p>
    <w:p w14:paraId="00000015" w14:textId="61B87451" w:rsidR="00F05E9F" w:rsidRDefault="006234A5">
      <w:pPr>
        <w:spacing w:after="0" w:line="240" w:lineRule="auto"/>
        <w:jc w:val="both"/>
      </w:pPr>
      <w:r>
        <w:t xml:space="preserve">Conclusions: Examination of current practices by the TNN riders may reveal new opportunities to improve </w:t>
      </w:r>
      <w:r>
        <w:t>glucose management and is an important tool for educating the wider public. Development of a hypoglycem</w:t>
      </w:r>
      <w:r>
        <w:t>ia warning system for during and after exercise could be applied to other populations at risk of hypoglycemia.</w:t>
      </w:r>
    </w:p>
    <w:p w14:paraId="00000016" w14:textId="77777777" w:rsidR="00F05E9F" w:rsidRDefault="00F05E9F">
      <w:pPr>
        <w:rPr>
          <w:rFonts w:ascii="Open Sans" w:eastAsia="Open Sans" w:hAnsi="Open Sans" w:cs="Open Sans"/>
          <w:b/>
          <w:color w:val="222222"/>
          <w:sz w:val="23"/>
          <w:szCs w:val="23"/>
        </w:rPr>
      </w:pPr>
      <w:bookmarkStart w:id="0" w:name="_GoBack"/>
      <w:bookmarkEnd w:id="0"/>
    </w:p>
    <w:p w14:paraId="00000017" w14:textId="77777777" w:rsidR="00F05E9F" w:rsidRDefault="006234A5">
      <w:pPr>
        <w:rPr>
          <w:rFonts w:ascii="Open Sans" w:eastAsia="Open Sans" w:hAnsi="Open Sans" w:cs="Open Sans"/>
          <w:b/>
          <w:color w:val="222222"/>
          <w:sz w:val="23"/>
          <w:szCs w:val="23"/>
        </w:rPr>
      </w:pPr>
      <w:bookmarkStart w:id="1" w:name="_heading=h.gjdgxs" w:colFirst="0" w:colLast="0"/>
      <w:bookmarkEnd w:id="1"/>
      <w:r>
        <w:br w:type="page"/>
      </w:r>
    </w:p>
    <w:p w14:paraId="00000018" w14:textId="77777777" w:rsidR="00F05E9F" w:rsidRDefault="00F05E9F">
      <w:pPr>
        <w:shd w:val="clear" w:color="auto" w:fill="FFFFFF"/>
        <w:spacing w:after="360" w:line="240" w:lineRule="auto"/>
        <w:rPr>
          <w:rFonts w:ascii="Open Sans" w:eastAsia="Open Sans" w:hAnsi="Open Sans" w:cs="Open Sans"/>
          <w:b/>
          <w:color w:val="222222"/>
          <w:sz w:val="23"/>
          <w:szCs w:val="23"/>
        </w:rPr>
      </w:pPr>
    </w:p>
    <w:p w14:paraId="00000019" w14:textId="77777777" w:rsidR="00F05E9F" w:rsidRDefault="006234A5">
      <w:pPr>
        <w:shd w:val="clear" w:color="auto" w:fill="FFFFFF"/>
        <w:spacing w:after="360" w:line="240" w:lineRule="auto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b/>
          <w:color w:val="222222"/>
          <w:sz w:val="23"/>
          <w:szCs w:val="23"/>
        </w:rPr>
        <w:t>Abstract guidelines:</w:t>
      </w:r>
    </w:p>
    <w:p w14:paraId="0000001A" w14:textId="77777777" w:rsidR="00F05E9F" w:rsidRDefault="006234A5">
      <w:pPr>
        <w:numPr>
          <w:ilvl w:val="0"/>
          <w:numId w:val="1"/>
        </w:numPr>
        <w:shd w:val="clear" w:color="auto" w:fill="FFFFFF"/>
        <w:spacing w:before="280" w:after="24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b/>
          <w:color w:val="222222"/>
          <w:sz w:val="23"/>
          <w:szCs w:val="23"/>
        </w:rPr>
        <w:t>Content. Be sure your abstract contains the following information before submission: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A. </w:t>
      </w:r>
      <w:r>
        <w:rPr>
          <w:rFonts w:ascii="Open Sans" w:eastAsia="Open Sans" w:hAnsi="Open Sans" w:cs="Open Sans"/>
          <w:color w:val="222222"/>
          <w:sz w:val="23"/>
          <w:szCs w:val="23"/>
        </w:rPr>
        <w:t>Title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B. </w:t>
      </w:r>
      <w:r>
        <w:rPr>
          <w:rFonts w:ascii="Open Sans" w:eastAsia="Open Sans" w:hAnsi="Open Sans" w:cs="Open Sans"/>
          <w:color w:val="222222"/>
          <w:sz w:val="23"/>
          <w:szCs w:val="23"/>
        </w:rPr>
        <w:t>Authors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C. </w:t>
      </w:r>
      <w:r>
        <w:rPr>
          <w:rFonts w:ascii="Open Sans" w:eastAsia="Open Sans" w:hAnsi="Open Sans" w:cs="Open Sans"/>
          <w:color w:val="222222"/>
          <w:sz w:val="23"/>
          <w:szCs w:val="23"/>
        </w:rPr>
        <w:t>Affiliations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D. </w:t>
      </w:r>
      <w:r>
        <w:rPr>
          <w:rFonts w:ascii="Open Sans" w:eastAsia="Open Sans" w:hAnsi="Open Sans" w:cs="Open Sans"/>
          <w:color w:val="222222"/>
          <w:sz w:val="23"/>
          <w:szCs w:val="23"/>
        </w:rPr>
        <w:t>Objective and background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E. </w:t>
      </w:r>
      <w:r>
        <w:rPr>
          <w:rFonts w:ascii="Open Sans" w:eastAsia="Open Sans" w:hAnsi="Open Sans" w:cs="Open Sans"/>
          <w:color w:val="222222"/>
          <w:sz w:val="23"/>
          <w:szCs w:val="23"/>
        </w:rPr>
        <w:t>Methods and materials (briefly, and if pertinent)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F. </w:t>
      </w:r>
      <w:r>
        <w:rPr>
          <w:rFonts w:ascii="Open Sans" w:eastAsia="Open Sans" w:hAnsi="Open Sans" w:cs="Open Sans"/>
          <w:color w:val="222222"/>
          <w:sz w:val="23"/>
          <w:szCs w:val="23"/>
        </w:rPr>
        <w:t>Results (if obtained to-date)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G.</w:t>
      </w:r>
      <w:r>
        <w:rPr>
          <w:rFonts w:ascii="Open Sans" w:eastAsia="Open Sans" w:hAnsi="Open Sans" w:cs="Open Sans"/>
          <w:color w:val="222222"/>
          <w:sz w:val="23"/>
          <w:szCs w:val="23"/>
        </w:rPr>
        <w:t> Conclusion and perspectives</w:t>
      </w:r>
    </w:p>
    <w:p w14:paraId="0000001B" w14:textId="77777777" w:rsidR="00F05E9F" w:rsidRDefault="006234A5">
      <w:pPr>
        <w:numPr>
          <w:ilvl w:val="0"/>
          <w:numId w:val="1"/>
        </w:numPr>
        <w:shd w:val="clear" w:color="auto" w:fill="FFFFFF"/>
        <w:spacing w:after="28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b/>
          <w:color w:val="222222"/>
          <w:sz w:val="23"/>
          <w:szCs w:val="23"/>
        </w:rPr>
        <w:t>Format. Be sure your abstract adheres to the following formatting guidelines before submission: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br/>
        <w:t>A. </w:t>
      </w:r>
      <w:r>
        <w:rPr>
          <w:rFonts w:ascii="Open Sans" w:eastAsia="Open Sans" w:hAnsi="Open Sans" w:cs="Open Sans"/>
          <w:color w:val="222222"/>
          <w:sz w:val="23"/>
          <w:szCs w:val="23"/>
        </w:rPr>
        <w:t>Title – Use</w:t>
      </w:r>
      <w:r>
        <w:rPr>
          <w:rFonts w:ascii="Open Sans" w:eastAsia="Open Sans" w:hAnsi="Open Sans" w:cs="Open Sans"/>
          <w:color w:val="222222"/>
          <w:sz w:val="23"/>
          <w:szCs w:val="23"/>
        </w:rPr>
        <w:t xml:space="preserve"> a short and specific title with title-style capitalization.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B. </w:t>
      </w:r>
      <w:r>
        <w:rPr>
          <w:rFonts w:ascii="Open Sans" w:eastAsia="Open Sans" w:hAnsi="Open Sans" w:cs="Open Sans"/>
          <w:color w:val="222222"/>
          <w:sz w:val="23"/>
          <w:szCs w:val="23"/>
        </w:rPr>
        <w:t>Authors – Bold the presenting author’s name.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C.</w:t>
      </w:r>
      <w:r>
        <w:rPr>
          <w:rFonts w:ascii="Open Sans" w:eastAsia="Open Sans" w:hAnsi="Open Sans" w:cs="Open Sans"/>
          <w:color w:val="222222"/>
          <w:sz w:val="23"/>
          <w:szCs w:val="23"/>
        </w:rPr>
        <w:t> Affiliations – Include unit, institution/company/hospital, city and country for all authors.</w:t>
      </w:r>
    </w:p>
    <w:p w14:paraId="0000001C" w14:textId="77777777" w:rsidR="00F05E9F" w:rsidRDefault="006234A5">
      <w:pPr>
        <w:shd w:val="clear" w:color="auto" w:fill="FFFFFF"/>
        <w:spacing w:after="360" w:line="240" w:lineRule="auto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The body of the abstract contains the following con</w:t>
      </w:r>
      <w:r>
        <w:rPr>
          <w:rFonts w:ascii="Open Sans" w:eastAsia="Open Sans" w:hAnsi="Open Sans" w:cs="Open Sans"/>
          <w:color w:val="222222"/>
          <w:sz w:val="23"/>
          <w:szCs w:val="23"/>
        </w:rPr>
        <w:t>tent in a single paragraph.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D. </w:t>
      </w:r>
      <w:r>
        <w:rPr>
          <w:rFonts w:ascii="Open Sans" w:eastAsia="Open Sans" w:hAnsi="Open Sans" w:cs="Open Sans"/>
          <w:color w:val="222222"/>
          <w:sz w:val="23"/>
          <w:szCs w:val="23"/>
        </w:rPr>
        <w:t>Objective and background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E.</w:t>
      </w:r>
      <w:r>
        <w:rPr>
          <w:rFonts w:ascii="Open Sans" w:eastAsia="Open Sans" w:hAnsi="Open Sans" w:cs="Open Sans"/>
          <w:color w:val="222222"/>
          <w:sz w:val="23"/>
          <w:szCs w:val="23"/>
        </w:rPr>
        <w:t> Methods and materials (briefly, and if pertinent)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F.</w:t>
      </w:r>
      <w:r>
        <w:rPr>
          <w:rFonts w:ascii="Open Sans" w:eastAsia="Open Sans" w:hAnsi="Open Sans" w:cs="Open Sans"/>
          <w:color w:val="222222"/>
          <w:sz w:val="23"/>
          <w:szCs w:val="23"/>
        </w:rPr>
        <w:t> Results (if obtained to-date)</w:t>
      </w:r>
      <w:r>
        <w:rPr>
          <w:rFonts w:ascii="Open Sans" w:eastAsia="Open Sans" w:hAnsi="Open Sans" w:cs="Open Sans"/>
          <w:color w:val="222222"/>
          <w:sz w:val="23"/>
          <w:szCs w:val="23"/>
        </w:rPr>
        <w:br/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G.</w:t>
      </w:r>
      <w:r>
        <w:rPr>
          <w:rFonts w:ascii="Open Sans" w:eastAsia="Open Sans" w:hAnsi="Open Sans" w:cs="Open Sans"/>
          <w:color w:val="222222"/>
          <w:sz w:val="23"/>
          <w:szCs w:val="23"/>
        </w:rPr>
        <w:t> Conclusion and perspectives</w:t>
      </w:r>
    </w:p>
    <w:p w14:paraId="0000001D" w14:textId="77777777" w:rsidR="00F05E9F" w:rsidRDefault="006234A5">
      <w:pPr>
        <w:numPr>
          <w:ilvl w:val="0"/>
          <w:numId w:val="1"/>
        </w:numPr>
        <w:shd w:val="clear" w:color="auto" w:fill="FFFFFF"/>
        <w:spacing w:before="280" w:after="28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b/>
          <w:color w:val="222222"/>
          <w:sz w:val="23"/>
          <w:szCs w:val="23"/>
        </w:rPr>
        <w:t>General formatting, font style and character limit. Be sure your abstract adheres t</w:t>
      </w:r>
      <w:r>
        <w:rPr>
          <w:rFonts w:ascii="Open Sans" w:eastAsia="Open Sans" w:hAnsi="Open Sans" w:cs="Open Sans"/>
          <w:b/>
          <w:color w:val="222222"/>
          <w:sz w:val="23"/>
          <w:szCs w:val="23"/>
        </w:rPr>
        <w:t>o the following general style guidelines:</w:t>
      </w:r>
    </w:p>
    <w:p w14:paraId="0000001E" w14:textId="77777777" w:rsidR="00F05E9F" w:rsidRDefault="006234A5">
      <w:pPr>
        <w:numPr>
          <w:ilvl w:val="2"/>
          <w:numId w:val="2"/>
        </w:numPr>
        <w:shd w:val="clear" w:color="auto" w:fill="FFFFFF"/>
        <w:spacing w:before="280"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The abstract title (A) is limited to 200 characters, including spaces.</w:t>
      </w:r>
    </w:p>
    <w:p w14:paraId="0000001F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There is no character limit for the authors or author affiliations (B-C)</w:t>
      </w:r>
    </w:p>
    <w:p w14:paraId="00000020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The body of the abstract (D-G) is limited to 1500 characters not inclu</w:t>
      </w:r>
      <w:r>
        <w:rPr>
          <w:rFonts w:ascii="Open Sans" w:eastAsia="Open Sans" w:hAnsi="Open Sans" w:cs="Open Sans"/>
          <w:color w:val="222222"/>
          <w:sz w:val="23"/>
          <w:szCs w:val="23"/>
        </w:rPr>
        <w:t>ding spaces.</w:t>
      </w:r>
    </w:p>
    <w:p w14:paraId="00000021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Use top, bottom and side margins of 2.5 cm and A1 paper size.</w:t>
      </w:r>
    </w:p>
    <w:p w14:paraId="00000022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Use Arial, minimum size 11 and single line spacing.</w:t>
      </w:r>
    </w:p>
    <w:p w14:paraId="00000023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Be sure to leave one empty line space between the title (A) and authors and affiliations (B-C) and one empty line space before th</w:t>
      </w:r>
      <w:r>
        <w:rPr>
          <w:rFonts w:ascii="Open Sans" w:eastAsia="Open Sans" w:hAnsi="Open Sans" w:cs="Open Sans"/>
          <w:color w:val="222222"/>
          <w:sz w:val="23"/>
          <w:szCs w:val="23"/>
        </w:rPr>
        <w:t>e body of the abstract (D-G)</w:t>
      </w:r>
    </w:p>
    <w:p w14:paraId="00000024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Avoid boldfacing throughout, with the exception of the presenting author’s name in the author list.</w:t>
      </w:r>
    </w:p>
    <w:p w14:paraId="00000025" w14:textId="77777777" w:rsidR="00F05E9F" w:rsidRDefault="006234A5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Use standard abbreviations; all other abbreviations should be spelled out at first mention.</w:t>
      </w:r>
    </w:p>
    <w:p w14:paraId="00000026" w14:textId="77777777" w:rsidR="00F05E9F" w:rsidRDefault="006234A5">
      <w:pPr>
        <w:numPr>
          <w:ilvl w:val="2"/>
          <w:numId w:val="2"/>
        </w:numPr>
        <w:shd w:val="clear" w:color="auto" w:fill="FFFFFF"/>
        <w:spacing w:after="280" w:line="240" w:lineRule="auto"/>
        <w:ind w:left="0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color w:val="222222"/>
          <w:sz w:val="23"/>
          <w:szCs w:val="23"/>
        </w:rPr>
        <w:t>Do not use tables, charts, images or figures.</w:t>
      </w:r>
    </w:p>
    <w:p w14:paraId="00000027" w14:textId="77777777" w:rsidR="00F05E9F" w:rsidRDefault="006234A5">
      <w:pPr>
        <w:shd w:val="clear" w:color="auto" w:fill="FFFFFF"/>
        <w:spacing w:after="360" w:line="240" w:lineRule="auto"/>
        <w:rPr>
          <w:rFonts w:ascii="Open Sans" w:eastAsia="Open Sans" w:hAnsi="Open Sans" w:cs="Open Sans"/>
          <w:color w:val="222222"/>
          <w:sz w:val="23"/>
          <w:szCs w:val="23"/>
        </w:rPr>
      </w:pPr>
      <w:r>
        <w:rPr>
          <w:rFonts w:ascii="Open Sans" w:eastAsia="Open Sans" w:hAnsi="Open Sans" w:cs="Open Sans"/>
          <w:b/>
          <w:color w:val="222222"/>
          <w:sz w:val="23"/>
          <w:szCs w:val="23"/>
        </w:rPr>
        <w:t>Please proofread carefully before submission and submit a word file.</w:t>
      </w:r>
    </w:p>
    <w:p w14:paraId="00000028" w14:textId="77777777" w:rsidR="00F05E9F" w:rsidRDefault="00F05E9F"/>
    <w:sectPr w:rsidR="00F05E9F">
      <w:pgSz w:w="11906" w:h="16838"/>
      <w:pgMar w:top="1411" w:right="1411" w:bottom="1411" w:left="1411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71E7"/>
    <w:multiLevelType w:val="multilevel"/>
    <w:tmpl w:val="1C80A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1A73DE0"/>
    <w:multiLevelType w:val="multilevel"/>
    <w:tmpl w:val="F10C0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9F"/>
    <w:rsid w:val="006234A5"/>
    <w:rsid w:val="009D3774"/>
    <w:rsid w:val="00F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5059"/>
  <w15:docId w15:val="{DE607D4C-23D4-44A8-8F32-B153B8B0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62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9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C20"/>
    <w:rPr>
      <w:b/>
      <w:bCs/>
    </w:rPr>
  </w:style>
  <w:style w:type="paragraph" w:styleId="NoSpacing">
    <w:name w:val="No Spacing"/>
    <w:basedOn w:val="Normal"/>
    <w:uiPriority w:val="1"/>
    <w:qFormat/>
    <w:rsid w:val="00292C20"/>
    <w:pPr>
      <w:spacing w:after="0" w:line="240" w:lineRule="auto"/>
    </w:pPr>
    <w:rPr>
      <w:rFonts w:asciiTheme="minorHAnsi" w:eastAsia="Times New Roman" w:hAnsiTheme="minorHAnsi" w:cs="Times New Roman"/>
      <w:lang w:val="en-GB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3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3623"/>
    <w:pPr>
      <w:spacing w:line="240" w:lineRule="auto"/>
      <w:jc w:val="both"/>
    </w:pPr>
    <w:rPr>
      <w:rFonts w:ascii="Times New Roman" w:eastAsiaTheme="minorEastAsia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623"/>
    <w:rPr>
      <w:rFonts w:ascii="Times New Roman" w:eastAsiaTheme="minorEastAsia" w:hAnsi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1919"/>
    <w:pPr>
      <w:spacing w:after="160" w:line="259" w:lineRule="auto"/>
      <w:ind w:left="720"/>
      <w:contextualSpacing/>
    </w:pPr>
    <w:rPr>
      <w:rFonts w:asciiTheme="minorHAnsi" w:eastAsiaTheme="minorEastAsia" w:hAnsiTheme="min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3Vpc26kXT1kSaKltYdegOmYDw==">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Insel Gruppe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Scott, Sam</dc:creator>
  <cp:lastModifiedBy>Scott, Sam</cp:lastModifiedBy>
  <cp:revision>2</cp:revision>
  <dcterms:created xsi:type="dcterms:W3CDTF">2021-06-29T09:58:00Z</dcterms:created>
  <dcterms:modified xsi:type="dcterms:W3CDTF">2021-06-29T09:58:00Z</dcterms:modified>
</cp:coreProperties>
</file>