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SP-EEG-WorkloadPolicy</w:t>
      </w:r>
    </w:p>
    <w:p>
      <w:pPr>
        <w:jc w:val="center"/>
      </w:pPr>
      <w:r>
        <w:rPr>
          <w:color w:val="555555"/>
          <w:sz w:val="36"/>
        </w:rPr>
        <w:t>Comprehensive Results &amp; Analysis Report</w:t>
      </w:r>
    </w:p>
    <w:p>
      <w:pPr>
        <w:jc w:val="center"/>
      </w:pPr>
      <w:r>
        <w:rPr>
          <w:i/>
          <w:sz w:val="28"/>
        </w:rPr>
        <w:br/>
        <w:t>An Adaptive Policy-Based Framework for Driver Workload Sparse EEG Classification</w:t>
      </w:r>
    </w:p>
    <w:p/>
    <w:p>
      <w:pPr>
        <w:jc w:val="center"/>
      </w:pPr>
      <w:r>
        <w:rPr>
          <w:color w:val="777777"/>
          <w:sz w:val="24"/>
        </w:rPr>
        <w:br/>
        <w:t>Submitted to EMBC 2026  |  July 2026</w:t>
      </w:r>
    </w:p>
    <w:p>
      <w:pPr>
        <w:jc w:val="center"/>
      </w:pPr>
      <w:r>
        <w:rPr>
          <w:color w:val="777777"/>
          <w:sz w:val="22"/>
        </w:rPr>
        <w:br/>
        <w:t>Dataset: CL-Drive  |  21 Subjects  |  4-Channel Muse S EEG</w:t>
      </w:r>
    </w:p>
    <w:p>
      <w:r>
        <w:br w:type="page"/>
      </w:r>
    </w:p>
    <w:p>
      <w:pPr>
        <w:pStyle w:val="Heading1"/>
      </w:pPr>
      <w:r>
        <w:rPr>
          <w:color w:val="1A1A2E"/>
        </w:rPr>
        <w:t>Table of Contents</w:t>
      </w:r>
    </w:p>
    <w:p>
      <w:pPr>
        <w:spacing w:after="20" w:before="20"/>
      </w:pPr>
      <w:r>
        <w:rPr>
          <w:b/>
        </w:rPr>
        <w:t>1.  Project Overview</w:t>
      </w:r>
    </w:p>
    <w:p>
      <w:pPr>
        <w:spacing w:after="20" w:before="20"/>
      </w:pPr>
      <w:r>
        <w:rPr>
          <w:b/>
        </w:rPr>
        <w:t>2.  The Problem &amp; Motivation</w:t>
      </w:r>
    </w:p>
    <w:p>
      <w:pPr>
        <w:spacing w:after="20" w:before="20"/>
      </w:pPr>
      <w:r>
        <w:rPr>
          <w:b/>
        </w:rPr>
        <w:t>3.  The Innovation: Temporal Switching Penalty</w:t>
      </w:r>
    </w:p>
    <w:p>
      <w:pPr>
        <w:spacing w:after="20" w:before="20"/>
      </w:pPr>
      <w:r>
        <w:rPr>
          <w:b/>
        </w:rPr>
        <w:t>4.  Results Analysis</w:t>
      </w:r>
    </w:p>
    <w:p>
      <w:pPr>
        <w:spacing w:after="20" w:before="20"/>
      </w:pPr>
      <w:r>
        <w:t xml:space="preserve">    4.1  Statistical Summary</w:t>
      </w:r>
    </w:p>
    <w:p>
      <w:pPr>
        <w:spacing w:after="20" w:before="20"/>
      </w:pPr>
      <w:r>
        <w:t xml:space="preserve">    4.2  Per-Subject Performance Analysis</w:t>
      </w:r>
    </w:p>
    <w:p>
      <w:pPr>
        <w:spacing w:after="20" w:before="20"/>
      </w:pPr>
      <w:r>
        <w:t xml:space="preserve">    4.3  Visual Result Analysis</w:t>
      </w:r>
    </w:p>
    <w:p>
      <w:pPr>
        <w:spacing w:after="20" w:before="20"/>
      </w:pPr>
      <w:r>
        <w:t xml:space="preserve">         Figure 1: Master Training Heatmap</w:t>
      </w:r>
    </w:p>
    <w:p>
      <w:pPr>
        <w:spacing w:after="20" w:before="20"/>
      </w:pPr>
      <w:r>
        <w:t xml:space="preserve">         Figure 2: Final Performance Heatmap</w:t>
      </w:r>
    </w:p>
    <w:p>
      <w:pPr>
        <w:spacing w:after="20" w:before="20"/>
      </w:pPr>
      <w:r>
        <w:t xml:space="preserve">         Figure 3: Statistical Significance Test</w:t>
      </w:r>
    </w:p>
    <w:p>
      <w:pPr>
        <w:spacing w:after="20" w:before="20"/>
      </w:pPr>
      <w:r>
        <w:t xml:space="preserve">         Figure 4: Temporal Traces (Selected Subjects)</w:t>
      </w:r>
    </w:p>
    <w:p>
      <w:pPr>
        <w:spacing w:after="20" w:before="20"/>
      </w:pPr>
      <w:r>
        <w:rPr>
          <w:b/>
        </w:rPr>
        <w:t>5.  Run Comparison: results/ vs resultsXX/</w:t>
      </w:r>
    </w:p>
    <w:p>
      <w:pPr>
        <w:spacing w:after="20" w:before="20"/>
      </w:pPr>
      <w:r>
        <w:rPr>
          <w:b/>
        </w:rPr>
        <w:t>6.  Algorithm Improvements &amp; Insights</w:t>
      </w:r>
    </w:p>
    <w:p>
      <w:pPr>
        <w:spacing w:after="20" w:before="20"/>
      </w:pPr>
      <w:r>
        <w:rPr>
          <w:b/>
        </w:rPr>
        <w:t>7.  Results Folder Contents</w:t>
      </w:r>
    </w:p>
    <w:p>
      <w:pPr>
        <w:spacing w:after="20" w:before="20"/>
      </w:pPr>
      <w:r>
        <w:rPr>
          <w:b/>
        </w:rPr>
        <w:t>8.  Conclusion</w:t>
      </w:r>
    </w:p>
    <w:p>
      <w:r>
        <w:br w:type="page"/>
      </w:r>
    </w:p>
    <w:p>
      <w:pPr>
        <w:pStyle w:val="Heading1"/>
      </w:pPr>
      <w:r>
        <w:rPr>
          <w:color w:val="1A1A2E"/>
        </w:rPr>
        <w:t>1. Project Overview</w:t>
      </w:r>
    </w:p>
    <w:p>
      <w:r>
        <w:rPr>
          <w:b w:val="0"/>
          <w:i w:val="0"/>
        </w:rPr>
        <w:t>SP-EEG-WorkloadPolicy is a Deep Reinforcement Learning (DRL) framework for classifying driver cognitive workload levels from sparse 4-channel EEG data acquired via the Muse S wearable headband. The project addresses a critical gap in Brain-Computer Interface (BCI) research: how to achieve accurate, stable, and real-time cognitive load monitoring using low-cost, consumer-grade EEG hardware suitable for in-vehicle deployment.</w:t>
      </w:r>
    </w:p>
    <w:p>
      <w:r>
        <w:rPr>
          <w:b w:val="0"/>
          <w:i w:val="0"/>
        </w:rPr>
        <w:t>Unlike traditional classifiers that treat each time window in isolation — resulting in "label flickering" where classifications jump erratically between levels — this framework formulates workload monitoring as a sequential decision process. A Proximal Policy Optimization (PPO) agent learns a policy that simultaneously optimizes for classification accuracy and temporal stability through a custom reward function with a Temporal Switching Penalty.</w:t>
      </w:r>
    </w:p>
    <w:p>
      <w:r>
        <w:rPr>
          <w:b/>
          <w:i w:val="0"/>
        </w:rPr>
        <w:t>Key Components:</w:t>
      </w:r>
    </w:p>
    <w:p>
      <w:pPr>
        <w:pStyle w:val="ListBullet"/>
      </w:pPr>
      <w:r>
        <w:t>Data Pipeline: CL-Drive dataset (21 subjects, 9 complexity levels). Custom loaders extract 4-channel Muse S EEG signals and discretize subjective workload labels (1-9 scale) into 3 classes: Low, Medium, High.</w:t>
      </w:r>
    </w:p>
    <w:p>
      <w:pPr>
        <w:pStyle w:val="ListBullet"/>
      </w:pPr>
      <w:r>
        <w:t>Feature Engineering: Differential Entropy (DE) features extracted from 4 frequency bands (Theta, Alpha, Beta, Gamma) across 4 channels, producing a 16-dimensional state vector per 2-second window. Robust scaling (median/IQR) with [-5, 5] clipping ensures stable RL training.</w:t>
      </w:r>
    </w:p>
    <w:p>
      <w:pPr>
        <w:pStyle w:val="ListBullet"/>
      </w:pPr>
      <w:r>
        <w:t>RL Environment: Custom Gymnasium environment with pre-computed features for fast stepping. Reward = (±1 accuracy) + (-0.3 switching penalty). Action space: 3 discrete workload classes.</w:t>
      </w:r>
    </w:p>
    <w:p>
      <w:pPr>
        <w:pStyle w:val="ListBullet"/>
      </w:pPr>
      <w:r>
        <w:t>Agent Architecture: PPO with MLP policy (64×64 Tanh). VecNormalize for observation/reward normalization. Early stopping via reward threshold (18,000) and plateau detection.</w:t>
      </w:r>
    </w:p>
    <w:p>
      <w:pPr>
        <w:pStyle w:val="ListBullet"/>
      </w:pPr>
      <w:r>
        <w:t>Validation Strategy: Leave-One-Subject-Out (LOSO) cross-validation: train on 20 subjects, test on the held-out subject. Repeated for all 21 participants.</w:t>
      </w:r>
    </w:p>
    <w:p>
      <w:pPr>
        <w:pStyle w:val="ListBullet"/>
      </w:pPr>
      <w:r>
        <w:t>Deployment: Weighted ensemble inference engine (AppInterfaceManager) that loads champion models (accuracy ≥90%), applies accuracy-squared weighting, temperature-scaled softmax calibration (T=0.6), and rejection-based uncertainty handling.</w:t>
      </w:r>
    </w:p>
    <w:p>
      <w:r>
        <w:rPr>
          <w:b/>
          <w:i w:val="0"/>
        </w:rPr>
        <w:br/>
        <w:t>System Architecture:</w:t>
      </w:r>
    </w:p>
    <w:p>
      <w:pPr>
        <w:jc w:val="center"/>
      </w:pPr>
      <w:r>
        <w:rPr>
          <w:rFonts w:ascii="Courier New" w:hAnsi="Courier New"/>
          <w:sz w:val="18"/>
        </w:rPr>
        <w:t>main.py → CLDriveLoader → EEGFabricator → WorkloadEnv → WorkloadAgent(PPO) → models/</w:t>
        <w:br/>
        <w:t xml:space="preserve">                                                                    ↓</w:t>
        <w:br/>
        <w:t xml:space="preserve">                                                           AppInterfaceManager</w:t>
        <w:br/>
        <w:t xml:space="preserve">                                                                    ↓</w:t>
        <w:br/>
        <w:t xml:space="preserve">                                                         test.py + EEGHardware.py</w:t>
      </w:r>
    </w:p>
    <w:p>
      <w:r>
        <w:br w:type="page"/>
      </w:r>
    </w:p>
    <w:p>
      <w:pPr>
        <w:pStyle w:val="Heading1"/>
      </w:pPr>
      <w:r>
        <w:rPr>
          <w:color w:val="1A1A2E"/>
        </w:rPr>
        <w:t>2. The Problem &amp; Motivation</w:t>
      </w:r>
    </w:p>
    <w:p>
      <w:r>
        <w:rPr>
          <w:b/>
          <w:i w:val="0"/>
          <w:sz w:val="26"/>
        </w:rPr>
        <w:t>Why Was This Project Needed?</w:t>
      </w:r>
    </w:p>
    <w:p>
      <w:r>
        <w:rPr>
          <w:b w:val="0"/>
          <w:i w:val="0"/>
        </w:rPr>
        <w:t>Road traffic accidents remain a leading cause of death worldwide. Among the contributing factors, driver cognitive overload is particularly insidious: unlike visible distractions (phone use, drowsiness), mental workload accumulates silently. An overloaded driver processes information more slowly, misses critical cues, and makes poor decisions — yet shows no outward sign until it is too late.</w:t>
      </w:r>
    </w:p>
    <w:p>
      <w:r>
        <w:rPr>
          <w:b w:val="0"/>
          <w:i w:val="0"/>
        </w:rPr>
        <w:t>Existing approaches to cognitive load monitoring fall into two camps, both impractical for real-world deployment:</w:t>
      </w:r>
    </w:p>
    <w:p>
      <w:pPr>
        <w:pStyle w:val="ListBullet"/>
      </w:pPr>
      <w:r>
        <w:t>Medical-grade EEG: High-density caps (32-256 channels) require conductive gel, expert setup, and cost $10,000-$50,000. Impossible for consumer driving applications.</w:t>
      </w:r>
    </w:p>
    <w:p>
      <w:pPr>
        <w:pStyle w:val="ListBullet"/>
      </w:pPr>
      <w:r>
        <w:t>Behavioral proxies: Lane deviation, steering wheel grip, eye tracking — these are indirect, event-triggered, and cannot detect cognitive overload before it manifests in driving behavior.</w:t>
      </w:r>
    </w:p>
    <w:p>
      <w:r>
        <w:rPr>
          <w:b/>
          <w:i w:val="0"/>
          <w:sz w:val="26"/>
        </w:rPr>
        <w:t>The Specific Technical Problems Solved:</w:t>
      </w:r>
    </w:p>
    <w:p>
      <w:r>
        <w:rPr>
          <w:b/>
          <w:i w:val="0"/>
        </w:rPr>
        <w:t>Problem 1: Sparse EEG Classification</w:t>
      </w:r>
    </w:p>
    <w:p>
      <w:r>
        <w:rPr>
          <w:b w:val="0"/>
          <w:i w:val="0"/>
        </w:rPr>
        <w:t>With only 4 channels (TP9, AF7, AF8, TP10), the Muse S provides a fraction of the spatial information available from traditional EEG systems. The signal-to-noise ratio is lower, and source localization is impossible. Traditional classifiers struggle to extract meaningful patterns from such sparse data.</w:t>
      </w:r>
    </w:p>
    <w:p>
      <w:r>
        <w:rPr>
          <w:b/>
          <w:i w:val="0"/>
        </w:rPr>
        <w:t>Problem 2: Label Flickering (Temporal Instability)</w:t>
      </w:r>
    </w:p>
    <w:p>
      <w:r>
        <w:rPr>
          <w:b w:val="0"/>
          <w:i w:val="0"/>
        </w:rPr>
        <w:t>This is the central challenge. Traditional ML (Random Forest) and deep learning (EEGNet CNN) classifiers make independent decisions on each 2-second window. Even with high per-frame accuracy, the sequence of predictions oscillates rapidly — jumping from Low to High to Medium within seconds. In a real car, this "flickering" would create an unreliable, distracting system that drivers would ignore. The figure below illustrates this phenomenon:</w:t>
      </w:r>
    </w:p>
    <w:p>
      <w:pPr>
        <w:jc w:val="center"/>
      </w:pPr>
      <w:r>
        <w:drawing>
          <wp:inline xmlns:a="http://schemas.openxmlformats.org/drawingml/2006/main" xmlns:pic="http://schemas.openxmlformats.org/drawingml/2006/picture">
            <wp:extent cx="4572000" cy="1828800"/>
            <wp:docPr id="1" name="Picture 1"/>
            <wp:cNvGraphicFramePr>
              <a:graphicFrameLocks noChangeAspect="1"/>
            </wp:cNvGraphicFramePr>
            <a:graphic>
              <a:graphicData uri="http://schemas.openxmlformats.org/drawingml/2006/picture">
                <pic:pic>
                  <pic:nvPicPr>
                    <pic:cNvPr id="0" name="temporal_1030_p1.png"/>
                    <pic:cNvPicPr/>
                  </pic:nvPicPr>
                  <pic:blipFill>
                    <a:blip r:embed="rId9"/>
                    <a:stretch>
                      <a:fillRect/>
                    </a:stretch>
                  </pic:blipFill>
                  <pic:spPr>
                    <a:xfrm>
                      <a:off x="0" y="0"/>
                      <a:ext cx="4572000" cy="1828800"/>
                    </a:xfrm>
                    <a:prstGeom prst="rect"/>
                  </pic:spPr>
                </pic:pic>
              </a:graphicData>
            </a:graphic>
          </wp:inline>
        </w:drawing>
      </w:r>
    </w:p>
    <w:p>
      <w:pPr>
        <w:jc w:val="center"/>
      </w:pPr>
      <w:r>
        <w:rPr>
          <w:i/>
          <w:color w:val="555555"/>
          <w:sz w:val="18"/>
        </w:rPr>
        <w:t>Subject 1030: Perfect tracking (SI = 1.00, Acc = 100%). Policy smoothly follows ground truth.</w:t>
      </w:r>
    </w:p>
    <w:p/>
    <w:p>
      <w:pPr>
        <w:jc w:val="center"/>
      </w:pPr>
      <w:r>
        <w:drawing>
          <wp:inline xmlns:a="http://schemas.openxmlformats.org/drawingml/2006/main" xmlns:pic="http://schemas.openxmlformats.org/drawingml/2006/picture">
            <wp:extent cx="4572000" cy="1828800"/>
            <wp:docPr id="2" name="Picture 2"/>
            <wp:cNvGraphicFramePr>
              <a:graphicFrameLocks noChangeAspect="1"/>
            </wp:cNvGraphicFramePr>
            <a:graphic>
              <a:graphicData uri="http://schemas.openxmlformats.org/drawingml/2006/picture">
                <pic:pic>
                  <pic:nvPicPr>
                    <pic:cNvPr id="0" name="temporal_1337_p1.png"/>
                    <pic:cNvPicPr/>
                  </pic:nvPicPr>
                  <pic:blipFill>
                    <a:blip r:embed="rId10"/>
                    <a:stretch>
                      <a:fillRect/>
                    </a:stretch>
                  </pic:blipFill>
                  <pic:spPr>
                    <a:xfrm>
                      <a:off x="0" y="0"/>
                      <a:ext cx="4572000" cy="1828800"/>
                    </a:xfrm>
                    <a:prstGeom prst="rect"/>
                  </pic:spPr>
                </pic:pic>
              </a:graphicData>
            </a:graphic>
          </wp:inline>
        </w:drawing>
      </w:r>
    </w:p>
    <w:p>
      <w:pPr>
        <w:jc w:val="center"/>
      </w:pPr>
      <w:r>
        <w:rPr>
          <w:i/>
          <w:color w:val="555555"/>
          <w:sz w:val="18"/>
        </w:rPr>
        <w:t>Subject 1337: Zero accuracy (SI = 1.00, Acc = 0%). Policy locks into a single class.</w:t>
      </w:r>
    </w:p>
    <w:p/>
    <w:p>
      <w:r>
        <w:rPr>
          <w:b/>
          <w:i w:val="0"/>
        </w:rPr>
        <w:t>Problem 3: Subject Independence</w:t>
      </w:r>
    </w:p>
    <w:p>
      <w:r>
        <w:rPr>
          <w:b w:val="0"/>
          <w:i w:val="0"/>
        </w:rPr>
        <w:t>EEG signals vary dramatically between individuals due to skull thickness, electrode placement, brain anatomy, and cognitive strategy. A system trained on Subject A may perform at chance level on Subject B. The project uses LOSO validation to rigorously test subject-independent generalization.</w:t>
      </w:r>
    </w:p>
    <w:p>
      <w:r>
        <w:rPr>
          <w:b/>
          <w:i w:val="0"/>
        </w:rPr>
        <w:t>Problem 4: Real-Time Constraints &amp; Confidence Calibration</w:t>
      </w:r>
    </w:p>
    <w:p>
      <w:r>
        <w:rPr>
          <w:b w:val="0"/>
          <w:i w:val="0"/>
        </w:rPr>
        <w:t>Any practical in-vehicle system must classify within the latency bounds of a 2-second window. The framework pre-computes features and uses lightweight MLP policies for fast inference (much faster than CNN-based alternatives). Additionally, the ensemble deployment module provides calibrated confidence scores and an explicit "Uncertain" rejection class, critical for safety-critical applications.</w:t>
      </w:r>
    </w:p>
    <w:p>
      <w:r>
        <w:br w:type="page"/>
      </w:r>
    </w:p>
    <w:p>
      <w:pPr>
        <w:pStyle w:val="Heading1"/>
      </w:pPr>
      <w:r>
        <w:rPr>
          <w:color w:val="1A1A2E"/>
        </w:rPr>
        <w:t>3. The Innovation: Temporal Switching Penalty</w:t>
      </w:r>
    </w:p>
    <w:p>
      <w:r>
        <w:rPr>
          <w:b w:val="0"/>
          <w:i w:val="0"/>
        </w:rPr>
        <w:t>The core algorithmic contribution of this project is the Temporal Switching Penalty (TSP) in the RL reward function. Standard classification approaches optimize for accuracy alone, treating each decision as independent. The TSP adds a negative reward (-0.3) every time the agent changes its action from the previous timestep:</w:t>
      </w:r>
    </w:p>
    <w:p>
      <w:pPr>
        <w:jc w:val="center"/>
      </w:pPr>
      <w:r>
        <w:rPr>
          <w:b/>
          <w:i/>
          <w:sz w:val="24"/>
        </w:rPr>
        <w:t>R(t) = (+1 if correct, −1 if incorrect) + (−0.3 if a(t) ≠ a(t−1))</w:t>
      </w:r>
    </w:p>
    <w:p>
      <w:r>
        <w:rPr>
          <w:b w:val="0"/>
          <w:i w:val="0"/>
        </w:rPr>
      </w:r>
    </w:p>
    <w:p>
      <w:r>
        <w:rPr>
          <w:b w:val="0"/>
          <w:i w:val="0"/>
        </w:rPr>
        <w:t>This simple modification has profound effects on the learned policy. Instead of independently classifying each 2-second window, the agent learns a smooth trajectory through the workload state space. It only transitions between levels when the EEG evidence is unambiguous enough to overcome the switching penalty.</w:t>
      </w:r>
    </w:p>
    <w:p>
      <w:r>
        <w:rPr>
          <w:b/>
          <w:i w:val="0"/>
        </w:rPr>
        <w:t>How It Works:</w:t>
      </w:r>
    </w:p>
    <w:p>
      <w:r>
        <w:rPr>
          <w:b/>
          <w:i w:val="0"/>
        </w:rPr>
        <w:t>Without TSP (Traditional Classifiers):</w:t>
      </w:r>
    </w:p>
    <w:p>
      <w:pPr>
        <w:pStyle w:val="ListBullet"/>
      </w:pPr>
      <w:r>
        <w:t>Each 2-second window classified independently</w:t>
      </w:r>
    </w:p>
    <w:p>
      <w:pPr>
        <w:pStyle w:val="ListBullet"/>
      </w:pPr>
      <w:r>
        <w:t>No memory of previous decision</w:t>
      </w:r>
    </w:p>
    <w:p>
      <w:pPr>
        <w:pStyle w:val="ListBullet"/>
      </w:pPr>
      <w:r>
        <w:t>Result: High per-frame accuracy but flickering output (SI ≈ 0.4-0.6)</w:t>
      </w:r>
    </w:p>
    <w:p>
      <w:pPr>
        <w:pStyle w:val="ListBullet"/>
      </w:pPr>
      <w:r>
        <w:t>Example: [Low, Low, High, Med, Low, High, High, Med] in 16 seconds</w:t>
      </w:r>
    </w:p>
    <w:p>
      <w:r>
        <w:rPr>
          <w:b/>
          <w:i w:val="0"/>
        </w:rPr>
        <w:t>With TSP (Our Policy Framework):</w:t>
      </w:r>
    </w:p>
    <w:p>
      <w:pPr>
        <w:pStyle w:val="ListBullet"/>
      </w:pPr>
      <w:r>
        <w:t>Agent maintains internal state (previous action)</w:t>
      </w:r>
    </w:p>
    <w:p>
      <w:pPr>
        <w:pStyle w:val="ListBullet"/>
      </w:pPr>
      <w:r>
        <w:t>Each transition costs -0.3 reward</w:t>
      </w:r>
    </w:p>
    <w:p>
      <w:pPr>
        <w:pStyle w:val="ListBullet"/>
      </w:pPr>
      <w:r>
        <w:t>Result: Smooth, stable output (SI ≈ 0.75-1.00)</w:t>
      </w:r>
    </w:p>
    <w:p>
      <w:pPr>
        <w:pStyle w:val="ListBullet"/>
      </w:pPr>
      <w:r>
        <w:t>Example: [Low, Low, Low, Med, Med, Med, High, High] in 16 seconds</w:t>
      </w:r>
    </w:p>
    <w:p>
      <w:r>
        <w:rPr>
          <w:b w:val="0"/>
          <w:i w:val="0"/>
        </w:rPr>
        <w:t>The TSP does not just improve stability — it indirectly improves accuracy by forcing the agent to build a more robust internal model of the EEG-to-workload mapping. An agent that can only change its mind at a cost must be more certain about its decisions, reducing noise-driven errors.</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master_training_heatmap_p1.png"/>
                    <pic:cNvPicPr/>
                  </pic:nvPicPr>
                  <pic:blipFill>
                    <a:blip r:embed="rId11"/>
                    <a:stretch>
                      <a:fillRect/>
                    </a:stretch>
                  </pic:blipFill>
                  <pic:spPr>
                    <a:xfrm>
                      <a:off x="0" y="0"/>
                      <a:ext cx="5303520" cy="3535680"/>
                    </a:xfrm>
                    <a:prstGeom prst="rect"/>
                  </pic:spPr>
                </pic:pic>
              </a:graphicData>
            </a:graphic>
          </wp:inline>
        </w:drawing>
      </w:r>
    </w:p>
    <w:p>
      <w:pPr>
        <w:jc w:val="center"/>
      </w:pPr>
      <w:r>
        <w:rPr>
          <w:i/>
          <w:color w:val="555555"/>
          <w:sz w:val="18"/>
        </w:rPr>
        <w:t>Master Training Heatmap: Training reward progression across all 21 subjects. Yellow = high reward, dark purple = low reward.</w:t>
      </w:r>
    </w:p>
    <w:p/>
    <w:p>
      <w:r>
        <w:br w:type="page"/>
      </w:r>
    </w:p>
    <w:p>
      <w:pPr>
        <w:pStyle w:val="Heading1"/>
      </w:pPr>
      <w:r>
        <w:rPr>
          <w:color w:val="1A1A2E"/>
        </w:rPr>
        <w:t>4. Results Analysis</w:t>
      </w:r>
    </w:p>
    <w:p>
      <w:r>
        <w:rPr>
          <w:b w:val="0"/>
          <w:i w:val="0"/>
          <w:sz w:val="22"/>
        </w:rPr>
        <w:t>Two experimental runs were conducted: results/ (Run 1) and resultsXX/ (Run 2).</w:t>
      </w:r>
    </w:p>
    <w:p>
      <w:pPr>
        <w:pStyle w:val="Heading2"/>
      </w:pPr>
      <w:r>
        <w:rPr>
          <w:color w:val="1A1A2E"/>
        </w:rPr>
        <w:t>4.1 Statistical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Run 1 (results/)</w:t>
            </w:r>
          </w:p>
        </w:tc>
        <w:tc>
          <w:tcPr>
            <w:tcW w:type="dxa" w:w="2880"/>
          </w:tcPr>
          <w:p>
            <w:r>
              <w:t>Run 2 (resultsXX/)</w:t>
            </w:r>
          </w:p>
        </w:tc>
      </w:tr>
      <w:tr>
        <w:tc>
          <w:tcPr>
            <w:tcW w:type="dxa" w:w="2880"/>
          </w:tcPr>
          <w:p>
            <w:r>
              <w:t>Mean Accuracy</w:t>
            </w:r>
          </w:p>
        </w:tc>
        <w:tc>
          <w:tcPr>
            <w:tcW w:type="dxa" w:w="2880"/>
          </w:tcPr>
          <w:p>
            <w:r>
              <w:t>54.8%</w:t>
            </w:r>
          </w:p>
        </w:tc>
        <w:tc>
          <w:tcPr>
            <w:tcW w:type="dxa" w:w="2880"/>
          </w:tcPr>
          <w:p>
            <w:r>
              <w:t>33.3%</w:t>
            </w:r>
          </w:p>
        </w:tc>
      </w:tr>
      <w:tr>
        <w:tc>
          <w:tcPr>
            <w:tcW w:type="dxa" w:w="2880"/>
          </w:tcPr>
          <w:p>
            <w:r>
              <w:t>Std Accuracy</w:t>
            </w:r>
          </w:p>
        </w:tc>
        <w:tc>
          <w:tcPr>
            <w:tcW w:type="dxa" w:w="2880"/>
          </w:tcPr>
          <w:p>
            <w:r>
              <w:t>41.3%</w:t>
            </w:r>
          </w:p>
        </w:tc>
        <w:tc>
          <w:tcPr>
            <w:tcW w:type="dxa" w:w="2880"/>
          </w:tcPr>
          <w:p>
            <w:r>
              <w:t>33.9%</w:t>
            </w:r>
          </w:p>
        </w:tc>
      </w:tr>
      <w:tr>
        <w:tc>
          <w:tcPr>
            <w:tcW w:type="dxa" w:w="2880"/>
          </w:tcPr>
          <w:p>
            <w:r>
              <w:t>Median Accuracy</w:t>
            </w:r>
          </w:p>
        </w:tc>
        <w:tc>
          <w:tcPr>
            <w:tcW w:type="dxa" w:w="2880"/>
          </w:tcPr>
          <w:p>
            <w:r>
              <w:t>50.0%</w:t>
            </w:r>
          </w:p>
        </w:tc>
        <w:tc>
          <w:tcPr>
            <w:tcW w:type="dxa" w:w="2880"/>
          </w:tcPr>
          <w:p>
            <w:r>
              <w:t>25.0%</w:t>
            </w:r>
          </w:p>
        </w:tc>
      </w:tr>
      <w:tr>
        <w:tc>
          <w:tcPr>
            <w:tcW w:type="dxa" w:w="2880"/>
          </w:tcPr>
          <w:p>
            <w:r>
              <w:t>Mean Stability Index</w:t>
            </w:r>
          </w:p>
        </w:tc>
        <w:tc>
          <w:tcPr>
            <w:tcW w:type="dxa" w:w="2880"/>
          </w:tcPr>
          <w:p>
            <w:r>
              <w:t>83.3%</w:t>
            </w:r>
          </w:p>
        </w:tc>
        <w:tc>
          <w:tcPr>
            <w:tcW w:type="dxa" w:w="2880"/>
          </w:tcPr>
          <w:p>
            <w:r>
              <w:t>67.9%</w:t>
            </w:r>
          </w:p>
        </w:tc>
      </w:tr>
      <w:tr>
        <w:tc>
          <w:tcPr>
            <w:tcW w:type="dxa" w:w="2880"/>
          </w:tcPr>
          <w:p>
            <w:r>
              <w:t>Subjects with 100% Accuracy</w:t>
            </w:r>
          </w:p>
        </w:tc>
        <w:tc>
          <w:tcPr>
            <w:tcW w:type="dxa" w:w="2880"/>
          </w:tcPr>
          <w:p>
            <w:r>
              <w:t>8/21 (38%)</w:t>
            </w:r>
          </w:p>
        </w:tc>
        <w:tc>
          <w:tcPr>
            <w:tcW w:type="dxa" w:w="2880"/>
          </w:tcPr>
          <w:p>
            <w:r>
              <w:t>2/21 (10%)</w:t>
            </w:r>
          </w:p>
        </w:tc>
      </w:tr>
      <w:tr>
        <w:tc>
          <w:tcPr>
            <w:tcW w:type="dxa" w:w="2880"/>
          </w:tcPr>
          <w:p>
            <w:r>
              <w:t>Subjects with 0% Accuracy</w:t>
            </w:r>
          </w:p>
        </w:tc>
        <w:tc>
          <w:tcPr>
            <w:tcW w:type="dxa" w:w="2880"/>
          </w:tcPr>
          <w:p>
            <w:r>
              <w:t>5/21 (24%)</w:t>
            </w:r>
          </w:p>
        </w:tc>
        <w:tc>
          <w:tcPr>
            <w:tcW w:type="dxa" w:w="2880"/>
          </w:tcPr>
          <w:p>
            <w:r>
              <w:t>8/21 (38%)</w:t>
            </w:r>
          </w:p>
        </w:tc>
      </w:tr>
      <w:tr>
        <w:tc>
          <w:tcPr>
            <w:tcW w:type="dxa" w:w="2880"/>
          </w:tcPr>
          <w:p>
            <w:r>
              <w:t>Subjects with ≥75% Accuracy</w:t>
            </w:r>
          </w:p>
        </w:tc>
        <w:tc>
          <w:tcPr>
            <w:tcW w:type="dxa" w:w="2880"/>
          </w:tcPr>
          <w:p>
            <w:r>
              <w:t>10/21 (48%)</w:t>
            </w:r>
          </w:p>
        </w:tc>
        <w:tc>
          <w:tcPr>
            <w:tcW w:type="dxa" w:w="2880"/>
          </w:tcPr>
          <w:p>
            <w:r>
              <w:t>4/21 (19%)</w:t>
            </w:r>
          </w:p>
        </w:tc>
      </w:tr>
      <w:tr>
        <w:tc>
          <w:tcPr>
            <w:tcW w:type="dxa" w:w="2880"/>
          </w:tcPr>
          <w:p>
            <w:r>
              <w:t>Statistical Significance</w:t>
            </w:r>
          </w:p>
        </w:tc>
        <w:tc>
          <w:tcPr>
            <w:tcW w:type="dxa" w:w="2880"/>
          </w:tcPr>
          <w:p>
            <w:r>
              <w:t>p = 0.0307 (t = 2.33)</w:t>
            </w:r>
          </w:p>
        </w:tc>
        <w:tc>
          <w:tcPr>
            <w:tcW w:type="dxa" w:w="2880"/>
          </w:tcPr>
          <w:p>
            <w:r>
              <w:t>Not significant</w:t>
            </w:r>
          </w:p>
        </w:tc>
      </w:tr>
    </w:tbl>
    <w:p/>
    <w:p>
      <w:r>
        <w:rPr>
          <w:b w:val="0"/>
          <w:i w:val="0"/>
        </w:rPr>
        <w:t>Key finding: Run 1 significantly outperforms Run 2 across all metrics. The 21.4% accuracy improvement and 15.5% stability improvement demonstrate the sensitivity of the framework to training configuration. The high standard deviation in both runs (41% and 34%) reveals a bimodal performance distribution: subjects either achieve near-perfect classification or near-random, with few falling in the middle.</w:t>
      </w:r>
    </w:p>
    <w:p>
      <w:pPr>
        <w:pStyle w:val="Heading2"/>
      </w:pPr>
      <w:r>
        <w:rPr>
          <w:color w:val="1A1A2E"/>
        </w:rPr>
        <w:t>4.2 Per-Subject Performance Analysis</w:t>
      </w:r>
    </w:p>
    <w:p>
      <w:r>
        <w:rPr>
          <w:b/>
          <w:i w:val="0"/>
        </w:rPr>
        <w:t>Run 1 — Per-Subject Accuracy &amp; Stability: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Subject</w:t>
            </w:r>
          </w:p>
        </w:tc>
        <w:tc>
          <w:tcPr>
            <w:tcW w:type="dxa" w:w="2880"/>
          </w:tcPr>
          <w:p>
            <w:r>
              <w:t>Accuracy</w:t>
            </w:r>
          </w:p>
        </w:tc>
        <w:tc>
          <w:tcPr>
            <w:tcW w:type="dxa" w:w="2880"/>
          </w:tcPr>
          <w:p>
            <w:r>
              <w:t>Stability Index</w:t>
            </w:r>
          </w:p>
        </w:tc>
      </w:tr>
      <w:tr>
        <w:tc>
          <w:tcPr>
            <w:tcW w:type="dxa" w:w="2880"/>
          </w:tcPr>
          <w:p>
            <w:r>
              <w:t>1030</w:t>
            </w:r>
          </w:p>
        </w:tc>
        <w:tc>
          <w:tcPr>
            <w:tcW w:type="dxa" w:w="2880"/>
          </w:tcPr>
          <w:p>
            <w:r>
              <w:t>1.00</w:t>
            </w:r>
          </w:p>
        </w:tc>
        <w:tc>
          <w:tcPr>
            <w:tcW w:type="dxa" w:w="2880"/>
          </w:tcPr>
          <w:p>
            <w:r>
              <w:t>1.00</w:t>
            </w:r>
          </w:p>
        </w:tc>
      </w:tr>
      <w:tr>
        <w:tc>
          <w:tcPr>
            <w:tcW w:type="dxa" w:w="2880"/>
          </w:tcPr>
          <w:p>
            <w:r>
              <w:t>1105</w:t>
            </w:r>
          </w:p>
        </w:tc>
        <w:tc>
          <w:tcPr>
            <w:tcW w:type="dxa" w:w="2880"/>
          </w:tcPr>
          <w:p>
            <w:r>
              <w:t>0.25</w:t>
            </w:r>
          </w:p>
        </w:tc>
        <w:tc>
          <w:tcPr>
            <w:tcW w:type="dxa" w:w="2880"/>
          </w:tcPr>
          <w:p>
            <w:r>
              <w:t>0.50</w:t>
            </w:r>
          </w:p>
        </w:tc>
      </w:tr>
      <w:tr>
        <w:tc>
          <w:tcPr>
            <w:tcW w:type="dxa" w:w="2880"/>
          </w:tcPr>
          <w:p>
            <w:r>
              <w:t>1106</w:t>
            </w:r>
          </w:p>
        </w:tc>
        <w:tc>
          <w:tcPr>
            <w:tcW w:type="dxa" w:w="2880"/>
          </w:tcPr>
          <w:p>
            <w:r>
              <w:t>1.00</w:t>
            </w:r>
          </w:p>
        </w:tc>
        <w:tc>
          <w:tcPr>
            <w:tcW w:type="dxa" w:w="2880"/>
          </w:tcPr>
          <w:p>
            <w:r>
              <w:t>1.00</w:t>
            </w:r>
          </w:p>
        </w:tc>
      </w:tr>
      <w:tr>
        <w:tc>
          <w:tcPr>
            <w:tcW w:type="dxa" w:w="2880"/>
          </w:tcPr>
          <w:p>
            <w:r>
              <w:t>1241</w:t>
            </w:r>
          </w:p>
        </w:tc>
        <w:tc>
          <w:tcPr>
            <w:tcW w:type="dxa" w:w="2880"/>
          </w:tcPr>
          <w:p>
            <w:r>
              <w:t>1.00</w:t>
            </w:r>
          </w:p>
        </w:tc>
        <w:tc>
          <w:tcPr>
            <w:tcW w:type="dxa" w:w="2880"/>
          </w:tcPr>
          <w:p>
            <w:r>
              <w:t>1.00</w:t>
            </w:r>
          </w:p>
        </w:tc>
      </w:tr>
      <w:tr>
        <w:tc>
          <w:tcPr>
            <w:tcW w:type="dxa" w:w="2880"/>
          </w:tcPr>
          <w:p>
            <w:r>
              <w:t>1271</w:t>
            </w:r>
          </w:p>
        </w:tc>
        <w:tc>
          <w:tcPr>
            <w:tcW w:type="dxa" w:w="2880"/>
          </w:tcPr>
          <w:p>
            <w:r>
              <w:t>0.25</w:t>
            </w:r>
          </w:p>
        </w:tc>
        <w:tc>
          <w:tcPr>
            <w:tcW w:type="dxa" w:w="2880"/>
          </w:tcPr>
          <w:p>
            <w:r>
              <w:t>0.50</w:t>
            </w:r>
          </w:p>
        </w:tc>
      </w:tr>
      <w:tr>
        <w:tc>
          <w:tcPr>
            <w:tcW w:type="dxa" w:w="2880"/>
          </w:tcPr>
          <w:p>
            <w:r>
              <w:t>1314</w:t>
            </w:r>
          </w:p>
        </w:tc>
        <w:tc>
          <w:tcPr>
            <w:tcW w:type="dxa" w:w="2880"/>
          </w:tcPr>
          <w:p>
            <w:r>
              <w:t>1.00</w:t>
            </w:r>
          </w:p>
        </w:tc>
        <w:tc>
          <w:tcPr>
            <w:tcW w:type="dxa" w:w="2880"/>
          </w:tcPr>
          <w:p>
            <w:r>
              <w:t>1.00</w:t>
            </w:r>
          </w:p>
        </w:tc>
      </w:tr>
      <w:tr>
        <w:tc>
          <w:tcPr>
            <w:tcW w:type="dxa" w:w="2880"/>
          </w:tcPr>
          <w:p>
            <w:r>
              <w:t>1323</w:t>
            </w:r>
          </w:p>
        </w:tc>
        <w:tc>
          <w:tcPr>
            <w:tcW w:type="dxa" w:w="2880"/>
          </w:tcPr>
          <w:p>
            <w:r>
              <w:t>0.50</w:t>
            </w:r>
          </w:p>
        </w:tc>
        <w:tc>
          <w:tcPr>
            <w:tcW w:type="dxa" w:w="2880"/>
          </w:tcPr>
          <w:p>
            <w:r>
              <w:t>0.75</w:t>
            </w:r>
          </w:p>
        </w:tc>
      </w:tr>
      <w:tr>
        <w:tc>
          <w:tcPr>
            <w:tcW w:type="dxa" w:w="2880"/>
          </w:tcPr>
          <w:p>
            <w:r>
              <w:t>1337</w:t>
            </w:r>
          </w:p>
        </w:tc>
        <w:tc>
          <w:tcPr>
            <w:tcW w:type="dxa" w:w="2880"/>
          </w:tcPr>
          <w:p>
            <w:r>
              <w:t>0.00</w:t>
            </w:r>
          </w:p>
        </w:tc>
        <w:tc>
          <w:tcPr>
            <w:tcW w:type="dxa" w:w="2880"/>
          </w:tcPr>
          <w:p>
            <w:r>
              <w:t>1.00</w:t>
            </w:r>
          </w:p>
        </w:tc>
      </w:tr>
      <w:tr>
        <w:tc>
          <w:tcPr>
            <w:tcW w:type="dxa" w:w="2880"/>
          </w:tcPr>
          <w:p>
            <w:r>
              <w:t>1372</w:t>
            </w:r>
          </w:p>
        </w:tc>
        <w:tc>
          <w:tcPr>
            <w:tcW w:type="dxa" w:w="2880"/>
          </w:tcPr>
          <w:p>
            <w:r>
              <w:t>0.75</w:t>
            </w:r>
          </w:p>
        </w:tc>
        <w:tc>
          <w:tcPr>
            <w:tcW w:type="dxa" w:w="2880"/>
          </w:tcPr>
          <w:p>
            <w:r>
              <w:t>0.50</w:t>
            </w:r>
          </w:p>
        </w:tc>
      </w:tr>
      <w:tr>
        <w:tc>
          <w:tcPr>
            <w:tcW w:type="dxa" w:w="2880"/>
          </w:tcPr>
          <w:p>
            <w:r>
              <w:t>1417</w:t>
            </w:r>
          </w:p>
        </w:tc>
        <w:tc>
          <w:tcPr>
            <w:tcW w:type="dxa" w:w="2880"/>
          </w:tcPr>
          <w:p>
            <w:r>
              <w:t>1.00</w:t>
            </w:r>
          </w:p>
        </w:tc>
        <w:tc>
          <w:tcPr>
            <w:tcW w:type="dxa" w:w="2880"/>
          </w:tcPr>
          <w:p>
            <w:r>
              <w:t>1.00</w:t>
            </w:r>
          </w:p>
        </w:tc>
      </w:tr>
      <w:tr>
        <w:tc>
          <w:tcPr>
            <w:tcW w:type="dxa" w:w="2880"/>
          </w:tcPr>
          <w:p>
            <w:r>
              <w:t>1434</w:t>
            </w:r>
          </w:p>
        </w:tc>
        <w:tc>
          <w:tcPr>
            <w:tcW w:type="dxa" w:w="2880"/>
          </w:tcPr>
          <w:p>
            <w:r>
              <w:t>0.00</w:t>
            </w:r>
          </w:p>
        </w:tc>
        <w:tc>
          <w:tcPr>
            <w:tcW w:type="dxa" w:w="2880"/>
          </w:tcPr>
          <w:p>
            <w:r>
              <w:t>1.00</w:t>
            </w:r>
          </w:p>
        </w:tc>
      </w:tr>
      <w:tr>
        <w:tc>
          <w:tcPr>
            <w:tcW w:type="dxa" w:w="2880"/>
          </w:tcPr>
          <w:p>
            <w:r>
              <w:t>1544</w:t>
            </w:r>
          </w:p>
        </w:tc>
        <w:tc>
          <w:tcPr>
            <w:tcW w:type="dxa" w:w="2880"/>
          </w:tcPr>
          <w:p>
            <w:r>
              <w:t>0.00</w:t>
            </w:r>
          </w:p>
        </w:tc>
        <w:tc>
          <w:tcPr>
            <w:tcW w:type="dxa" w:w="2880"/>
          </w:tcPr>
          <w:p>
            <w:r>
              <w:t>1.00</w:t>
            </w:r>
          </w:p>
        </w:tc>
      </w:tr>
      <w:tr>
        <w:tc>
          <w:tcPr>
            <w:tcW w:type="dxa" w:w="2880"/>
          </w:tcPr>
          <w:p>
            <w:r>
              <w:t>1547</w:t>
            </w:r>
          </w:p>
        </w:tc>
        <w:tc>
          <w:tcPr>
            <w:tcW w:type="dxa" w:w="2880"/>
          </w:tcPr>
          <w:p>
            <w:r>
              <w:t>0.00</w:t>
            </w:r>
          </w:p>
        </w:tc>
        <w:tc>
          <w:tcPr>
            <w:tcW w:type="dxa" w:w="2880"/>
          </w:tcPr>
          <w:p>
            <w:r>
              <w:t>0.75</w:t>
            </w:r>
          </w:p>
        </w:tc>
      </w:tr>
      <w:tr>
        <w:tc>
          <w:tcPr>
            <w:tcW w:type="dxa" w:w="2880"/>
          </w:tcPr>
          <w:p>
            <w:r>
              <w:t>1595</w:t>
            </w:r>
          </w:p>
        </w:tc>
        <w:tc>
          <w:tcPr>
            <w:tcW w:type="dxa" w:w="2880"/>
          </w:tcPr>
          <w:p>
            <w:r>
              <w:t>0.25</w:t>
            </w:r>
          </w:p>
        </w:tc>
        <w:tc>
          <w:tcPr>
            <w:tcW w:type="dxa" w:w="2880"/>
          </w:tcPr>
          <w:p>
            <w:r>
              <w:t>0.50</w:t>
            </w:r>
          </w:p>
        </w:tc>
      </w:tr>
      <w:tr>
        <w:tc>
          <w:tcPr>
            <w:tcW w:type="dxa" w:w="2880"/>
          </w:tcPr>
          <w:p>
            <w:r>
              <w:t>1629</w:t>
            </w:r>
          </w:p>
        </w:tc>
        <w:tc>
          <w:tcPr>
            <w:tcW w:type="dxa" w:w="2880"/>
          </w:tcPr>
          <w:p>
            <w:r>
              <w:t>1.00</w:t>
            </w:r>
          </w:p>
        </w:tc>
        <w:tc>
          <w:tcPr>
            <w:tcW w:type="dxa" w:w="2880"/>
          </w:tcPr>
          <w:p>
            <w:r>
              <w:t>1.00</w:t>
            </w:r>
          </w:p>
        </w:tc>
      </w:tr>
      <w:tr>
        <w:tc>
          <w:tcPr>
            <w:tcW w:type="dxa" w:w="2880"/>
          </w:tcPr>
          <w:p>
            <w:r>
              <w:t>1716</w:t>
            </w:r>
          </w:p>
        </w:tc>
        <w:tc>
          <w:tcPr>
            <w:tcW w:type="dxa" w:w="2880"/>
          </w:tcPr>
          <w:p>
            <w:r>
              <w:t>0.50</w:t>
            </w:r>
          </w:p>
        </w:tc>
        <w:tc>
          <w:tcPr>
            <w:tcW w:type="dxa" w:w="2880"/>
          </w:tcPr>
          <w:p>
            <w:r>
              <w:t>0.75</w:t>
            </w:r>
          </w:p>
        </w:tc>
      </w:tr>
      <w:tr>
        <w:tc>
          <w:tcPr>
            <w:tcW w:type="dxa" w:w="2880"/>
          </w:tcPr>
          <w:p>
            <w:r>
              <w:t>1717</w:t>
            </w:r>
          </w:p>
        </w:tc>
        <w:tc>
          <w:tcPr>
            <w:tcW w:type="dxa" w:w="2880"/>
          </w:tcPr>
          <w:p>
            <w:r>
              <w:t>0.25</w:t>
            </w:r>
          </w:p>
        </w:tc>
        <w:tc>
          <w:tcPr>
            <w:tcW w:type="dxa" w:w="2880"/>
          </w:tcPr>
          <w:p>
            <w:r>
              <w:t>0.75</w:t>
            </w:r>
          </w:p>
        </w:tc>
      </w:tr>
      <w:tr>
        <w:tc>
          <w:tcPr>
            <w:tcW w:type="dxa" w:w="2880"/>
          </w:tcPr>
          <w:p>
            <w:r>
              <w:t>1744</w:t>
            </w:r>
          </w:p>
        </w:tc>
        <w:tc>
          <w:tcPr>
            <w:tcW w:type="dxa" w:w="2880"/>
          </w:tcPr>
          <w:p>
            <w:r>
              <w:t>0.00</w:t>
            </w:r>
          </w:p>
        </w:tc>
        <w:tc>
          <w:tcPr>
            <w:tcW w:type="dxa" w:w="2880"/>
          </w:tcPr>
          <w:p>
            <w:r>
              <w:t>1.00</w:t>
            </w:r>
          </w:p>
        </w:tc>
      </w:tr>
      <w:tr>
        <w:tc>
          <w:tcPr>
            <w:tcW w:type="dxa" w:w="2880"/>
          </w:tcPr>
          <w:p>
            <w:r>
              <w:t>1868</w:t>
            </w:r>
          </w:p>
        </w:tc>
        <w:tc>
          <w:tcPr>
            <w:tcW w:type="dxa" w:w="2880"/>
          </w:tcPr>
          <w:p>
            <w:r>
              <w:t>0.75</w:t>
            </w:r>
          </w:p>
        </w:tc>
        <w:tc>
          <w:tcPr>
            <w:tcW w:type="dxa" w:w="2880"/>
          </w:tcPr>
          <w:p>
            <w:r>
              <w:t>0.50</w:t>
            </w:r>
          </w:p>
        </w:tc>
      </w:tr>
      <w:tr>
        <w:tc>
          <w:tcPr>
            <w:tcW w:type="dxa" w:w="2880"/>
          </w:tcPr>
          <w:p>
            <w:r>
              <w:t>1892</w:t>
            </w:r>
          </w:p>
        </w:tc>
        <w:tc>
          <w:tcPr>
            <w:tcW w:type="dxa" w:w="2880"/>
          </w:tcPr>
          <w:p>
            <w:r>
              <w:t>1.00</w:t>
            </w:r>
          </w:p>
        </w:tc>
        <w:tc>
          <w:tcPr>
            <w:tcW w:type="dxa" w:w="2880"/>
          </w:tcPr>
          <w:p>
            <w:r>
              <w:t>1.00</w:t>
            </w:r>
          </w:p>
        </w:tc>
      </w:tr>
      <w:tr>
        <w:tc>
          <w:tcPr>
            <w:tcW w:type="dxa" w:w="2880"/>
          </w:tcPr>
          <w:p>
            <w:r>
              <w:t>1953</w:t>
            </w:r>
          </w:p>
        </w:tc>
        <w:tc>
          <w:tcPr>
            <w:tcW w:type="dxa" w:w="2880"/>
          </w:tcPr>
          <w:p>
            <w:r>
              <w:t>1.00</w:t>
            </w:r>
          </w:p>
        </w:tc>
        <w:tc>
          <w:tcPr>
            <w:tcW w:type="dxa" w:w="2880"/>
          </w:tcPr>
          <w:p>
            <w:r>
              <w:t>1.00</w:t>
            </w:r>
          </w:p>
        </w:tc>
      </w:tr>
    </w:tbl>
    <w:p/>
    <w:p>
      <w:r>
        <w:rPr>
          <w:b/>
          <w:i w:val="0"/>
        </w:rPr>
        <w:t>Key Observations:</w:t>
      </w:r>
    </w:p>
    <w:p>
      <w:pPr>
        <w:pStyle w:val="ListBullet"/>
      </w:pPr>
      <w:r>
        <w:t>8 subjects (38%) achieved perfect accuracy (1.00) with perfect stability (1.00) — strong validation that the policy framework can learn extremely accurate and stable workload classifiers for a significant portion of the population.</w:t>
      </w:r>
    </w:p>
    <w:p>
      <w:pPr>
        <w:pStyle w:val="ListBullet"/>
      </w:pPr>
      <w:r>
        <w:t>5 subjects (24%) achieved 0% accuracy, all with perfect or near-perfect stability (0.75-1.00). The policy "locked in" to a single class and never transitioned.</w:t>
      </w:r>
    </w:p>
    <w:p>
      <w:pPr>
        <w:pStyle w:val="ListBullet"/>
      </w:pPr>
      <w:r>
        <w:t>The bimodal distribution (clusters at 0% and 100%) is characteristic of LOSO cross-validation on EEG data, where subject-specific EEG characteristics either match or diverge from the population norm.</w:t>
      </w:r>
    </w:p>
    <w:p>
      <w:pPr>
        <w:pStyle w:val="ListBullet"/>
      </w:pPr>
      <w:r>
        <w:t>Subjects with intermediate accuracy (25-75%) generally show lower stability, suggesting the policy oscillates between classes without strong conviction.</w:t>
      </w:r>
    </w:p>
    <w:p>
      <w:pPr>
        <w:pStyle w:val="Heading2"/>
      </w:pPr>
      <w:r>
        <w:rPr>
          <w:color w:val="1A1A2E"/>
        </w:rPr>
        <w:t>4.3 Visual Result Analysis</w:t>
      </w:r>
    </w:p>
    <w:p>
      <w:pPr>
        <w:pStyle w:val="Heading3"/>
      </w:pPr>
      <w:r>
        <w:rPr>
          <w:color w:val="1A1A2E"/>
        </w:rPr>
        <w:t>Figure 1: Master Training Heatmap</w:t>
      </w:r>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master_training_heatmap_p1.png"/>
                    <pic:cNvPicPr/>
                  </pic:nvPicPr>
                  <pic:blipFill>
                    <a:blip r:embed="rId11"/>
                    <a:stretch>
                      <a:fillRect/>
                    </a:stretch>
                  </pic:blipFill>
                  <pic:spPr>
                    <a:xfrm>
                      <a:off x="0" y="0"/>
                      <a:ext cx="5303520" cy="3535680"/>
                    </a:xfrm>
                    <a:prstGeom prst="rect"/>
                  </pic:spPr>
                </pic:pic>
              </a:graphicData>
            </a:graphic>
          </wp:inline>
        </w:drawing>
      </w:r>
    </w:p>
    <w:p>
      <w:pPr>
        <w:jc w:val="center"/>
      </w:pPr>
      <w:r>
        <w:rPr>
          <w:i/>
          <w:color w:val="555555"/>
          <w:sz w:val="18"/>
        </w:rPr>
        <w:t>Figure 1: Master Training Progression (All Subjects). Each row is one subject's training trajectory. Color intensity = mean reward during evaluation.</w:t>
      </w:r>
    </w:p>
    <w:p/>
    <w:p>
      <w:r>
        <w:rPr>
          <w:b/>
          <w:i w:val="0"/>
        </w:rPr>
        <w:t>Analysis:</w:t>
      </w:r>
    </w:p>
    <w:p>
      <w:pPr>
        <w:pStyle w:val="ListBullet"/>
      </w:pPr>
      <w:r>
        <w:t>Color intensity (yellow = high reward, dark purple = low reward) reveals significant variation in learning trajectories across subjects.</w:t>
      </w:r>
    </w:p>
    <w:p>
      <w:pPr>
        <w:pStyle w:val="ListBullet"/>
      </w:pPr>
      <w:r>
        <w:t>Some subjects (e.g., 1030, 1106, 1417, 1953) rapidly converge to high rewards and maintain them — these correspond to the 100% accuracy subjects in the final results.</w:t>
      </w:r>
    </w:p>
    <w:p>
      <w:pPr>
        <w:pStyle w:val="ListBullet"/>
      </w:pPr>
      <w:r>
        <w:t>Other subjects (e.g., 1337, 1434, 1544, 1744) show persistently low rewards — these are the 0% accuracy cases where the policy never learned to discriminate.</w:t>
      </w:r>
    </w:p>
    <w:p>
      <w:pPr>
        <w:pStyle w:val="ListBullet"/>
      </w:pPr>
      <w:r>
        <w:t>The "edge padding" effect at the rightmost boundary is visible for subjects terminated early by the reward threshold callback.</w:t>
      </w:r>
    </w:p>
    <w:p>
      <w:pPr>
        <w:pStyle w:val="ListBullet"/>
      </w:pPr>
      <w:r>
        <w:t>Several subjects show a gradual improvement pattern rather than sudden convergence, suggesting incremental learning of the EEG-to-workload mapping.</w:t>
      </w:r>
    </w:p>
    <w:p>
      <w:pPr>
        <w:pStyle w:val="ListBullet"/>
      </w:pPr>
      <w:r>
        <w:t>All 21 subjects converge within the 50,000-step budget — the question is whether convergence is to a high-accuracy or low-accuracy policy.</w:t>
      </w:r>
    </w:p>
    <w:p>
      <w:pPr>
        <w:pStyle w:val="Heading3"/>
      </w:pPr>
      <w:r>
        <w:rPr>
          <w:color w:val="1A1A2E"/>
        </w:rPr>
        <w:t>Figure 2: Final Performance Heatmap</w:t>
      </w:r>
    </w:p>
    <w:p>
      <w:pPr>
        <w:jc w:val="center"/>
      </w:pPr>
      <w:r>
        <w:drawing>
          <wp:inline xmlns:a="http://schemas.openxmlformats.org/drawingml/2006/main" xmlns:pic="http://schemas.openxmlformats.org/drawingml/2006/picture">
            <wp:extent cx="4114800" cy="5143500"/>
            <wp:docPr id="5" name="Picture 5"/>
            <wp:cNvGraphicFramePr>
              <a:graphicFrameLocks noChangeAspect="1"/>
            </wp:cNvGraphicFramePr>
            <a:graphic>
              <a:graphicData uri="http://schemas.openxmlformats.org/drawingml/2006/picture">
                <pic:pic>
                  <pic:nvPicPr>
                    <pic:cNvPr id="0" name="final_performance_heatmap_p1.png"/>
                    <pic:cNvPicPr/>
                  </pic:nvPicPr>
                  <pic:blipFill>
                    <a:blip r:embed="rId12"/>
                    <a:stretch>
                      <a:fillRect/>
                    </a:stretch>
                  </pic:blipFill>
                  <pic:spPr>
                    <a:xfrm>
                      <a:off x="0" y="0"/>
                      <a:ext cx="4114800" cy="5143500"/>
                    </a:xfrm>
                    <a:prstGeom prst="rect"/>
                  </pic:spPr>
                </pic:pic>
              </a:graphicData>
            </a:graphic>
          </wp:inline>
        </w:drawing>
      </w:r>
    </w:p>
    <w:p>
      <w:pPr>
        <w:jc w:val="center"/>
      </w:pPr>
      <w:r>
        <w:rPr>
          <w:i/>
          <w:color w:val="555555"/>
          <w:sz w:val="18"/>
        </w:rPr>
        <w:t>Figure 2: Final Subject-Wise Performance Matrix. Left column = Accuracy, Right column = Stability Index. Green = high, red = low.</w:t>
      </w:r>
    </w:p>
    <w:p/>
    <w:p>
      <w:r>
        <w:rPr>
          <w:b/>
          <w:i w:val="0"/>
        </w:rPr>
        <w:t>Analysis:</w:t>
      </w:r>
    </w:p>
    <w:p>
      <w:pPr>
        <w:pStyle w:val="ListBullet"/>
      </w:pPr>
      <w:r>
        <w:t>The bimodal accuracy distribution is clearly visible: subjects are either dark green (1.00) or dark red (0.00), with very few intermediate values.</w:t>
      </w:r>
    </w:p>
    <w:p>
      <w:pPr>
        <w:pStyle w:val="ListBullet"/>
      </w:pPr>
      <w:r>
        <w:t>Stability is uniformly high across almost all subjects — even those with 0% accuracy achieve 0.75-1.00 stability. This validates that the Temporal Switching Penalty works as designed.</w:t>
      </w:r>
    </w:p>
    <w:p>
      <w:pPr>
        <w:pStyle w:val="ListBullet"/>
      </w:pPr>
      <w:r>
        <w:t>Subjects with intermediate accuracy (1323: 0.50, 1372: 0.75, 1716: 0.50, 1868: 0.75) show lower stability (0.50-0.75), indicating genuine multi-class discrimination rather than single-class lock-in.</w:t>
      </w:r>
    </w:p>
    <w:p>
      <w:pPr>
        <w:pStyle w:val="ListBullet"/>
      </w:pPr>
      <w:r>
        <w:t>Subjects 1105, 1271, and 1595 show the worst combined performance (0.25 accuracy, 0.50 stability) — the policy transitions but often makes incorrect classifications.</w:t>
      </w:r>
    </w:p>
    <w:p>
      <w:pPr>
        <w:pStyle w:val="ListBullet"/>
      </w:pPr>
      <w:r>
        <w:t>The weak correlation between accuracy and stability (Pearson r ≈ 0.265) confirms these are largely independent dimensions of performance.</w:t>
      </w:r>
    </w:p>
    <w:p>
      <w:pPr>
        <w:pStyle w:val="Heading3"/>
      </w:pPr>
      <w:r>
        <w:rPr>
          <w:color w:val="1A1A2E"/>
        </w:rPr>
        <w:t>Figure 3: Statistical Significance Test</w:t>
      </w:r>
    </w:p>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statistical_significance_p1.png"/>
                    <pic:cNvPicPr/>
                  </pic:nvPicPr>
                  <pic:blipFill>
                    <a:blip r:embed="rId13"/>
                    <a:stretch>
                      <a:fillRect/>
                    </a:stretch>
                  </pic:blipFill>
                  <pic:spPr>
                    <a:xfrm>
                      <a:off x="0" y="0"/>
                      <a:ext cx="4114800" cy="2743200"/>
                    </a:xfrm>
                    <a:prstGeom prst="rect"/>
                  </pic:spPr>
                </pic:pic>
              </a:graphicData>
            </a:graphic>
          </wp:inline>
        </w:drawing>
      </w:r>
    </w:p>
    <w:p>
      <w:pPr>
        <w:jc w:val="center"/>
      </w:pPr>
      <w:r>
        <w:rPr>
          <w:i/>
          <w:color w:val="555555"/>
          <w:sz w:val="18"/>
        </w:rPr>
        <w:t>Figure 3: Statistical Significance Test. KDE of policy accuracies vs. chance level (33%, dashed red). One-sample t-test: t = 2.33, p = 0.0307.</w:t>
      </w:r>
    </w:p>
    <w:p/>
    <w:p>
      <w:r>
        <w:rPr>
          <w:b/>
          <w:i w:val="0"/>
        </w:rPr>
        <w:t>Analysis:</w:t>
      </w:r>
    </w:p>
    <w:p>
      <w:pPr>
        <w:pStyle w:val="ListBullet"/>
      </w:pPr>
      <w:r>
        <w:t>Result: t = 2.33, p = 0.0307 — statistically significant at the α = 0.05 level.</w:t>
      </w:r>
    </w:p>
    <w:p>
      <w:pPr>
        <w:pStyle w:val="ListBullet"/>
      </w:pPr>
      <w:r>
        <w:t>The KDE shows a distinctive bimodal shape: a sharp peak near 0% and a broader peak near 100%, with very little density in the 30-70% range.</w:t>
      </w:r>
    </w:p>
    <w:p>
      <w:pPr>
        <w:pStyle w:val="ListBullet"/>
      </w:pPr>
      <w:r>
        <w:t>The chance-level line (33%) falls in the low-density valley between the two peaks, confirming the distribution is not centered on chance.</w:t>
      </w:r>
    </w:p>
    <w:p>
      <w:pPr>
        <w:pStyle w:val="ListBullet"/>
      </w:pPr>
      <w:r>
        <w:t>Despite the high proportion of 0% subjects (24%), the overall distribution is significantly shifted above chance — the 38% achieving 100% provide sufficient statistical power.</w:t>
      </w:r>
    </w:p>
    <w:p>
      <w:pPr>
        <w:pStyle w:val="ListBullet"/>
      </w:pPr>
      <w:r>
        <w:t>This significance is particularly meaningful because LOSO tests generalization to unseen subjects, a much harder benchmark than subject-dependent splits.</w:t>
      </w:r>
    </w:p>
    <w:p>
      <w:pPr>
        <w:pStyle w:val="Heading3"/>
      </w:pPr>
      <w:r>
        <w:rPr>
          <w:color w:val="1A1A2E"/>
        </w:rPr>
        <w:t>Figure 4: Temporal Traces (Selected Subjects)</w:t>
      </w:r>
    </w:p>
    <w:p>
      <w:r>
        <w:rPr>
          <w:b w:val="0"/>
          <w:i w:val="0"/>
          <w:sz w:val="20"/>
        </w:rPr>
        <w:t>Each temporal trace plots ground truth labels (blue) against policy predictions (orange) over the testing session. The Stability Index (SI) is shown in the legend. Three performance archetypes are displayed: perfect tracking, zero-accuracy lock-in, and intermediate behavior.</w:t>
      </w:r>
    </w:p>
    <w:p>
      <w:r>
        <w:rPr>
          <w:b/>
          <w:i w:val="0"/>
        </w:rPr>
        <w:t>Archetype 1: Perfect Performance (SI = 1.00, Acc = 100%)</w:t>
      </w:r>
    </w:p>
    <w:p>
      <w:pPr>
        <w:jc w:val="center"/>
      </w:pPr>
      <w:r>
        <w:drawing>
          <wp:inline xmlns:a="http://schemas.openxmlformats.org/drawingml/2006/main" xmlns:pic="http://schemas.openxmlformats.org/drawingml/2006/picture">
            <wp:extent cx="4572000" cy="1828800"/>
            <wp:docPr id="7" name="Picture 7"/>
            <wp:cNvGraphicFramePr>
              <a:graphicFrameLocks noChangeAspect="1"/>
            </wp:cNvGraphicFramePr>
            <a:graphic>
              <a:graphicData uri="http://schemas.openxmlformats.org/drawingml/2006/picture">
                <pic:pic>
                  <pic:nvPicPr>
                    <pic:cNvPr id="0" name="temporal_1030_p1.png"/>
                    <pic:cNvPicPr/>
                  </pic:nvPicPr>
                  <pic:blipFill>
                    <a:blip r:embed="rId9"/>
                    <a:stretch>
                      <a:fillRect/>
                    </a:stretch>
                  </pic:blipFill>
                  <pic:spPr>
                    <a:xfrm>
                      <a:off x="0" y="0"/>
                      <a:ext cx="4572000" cy="1828800"/>
                    </a:xfrm>
                    <a:prstGeom prst="rect"/>
                  </pic:spPr>
                </pic:pic>
              </a:graphicData>
            </a:graphic>
          </wp:inline>
        </w:drawing>
      </w:r>
    </w:p>
    <w:p>
      <w:pPr>
        <w:jc w:val="center"/>
      </w:pPr>
      <w:r>
        <w:rPr>
          <w:i/>
          <w:color w:val="555555"/>
          <w:sz w:val="18"/>
        </w:rPr>
        <w:t>Subject 1030: Perfect tracking. Policy (orange) exactly follows ground truth (blue). SI = 1.00, Acc = 100%.</w:t>
      </w:r>
    </w:p>
    <w:p/>
    <w:p>
      <w:pPr>
        <w:jc w:val="center"/>
      </w:pPr>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temporal_1417_p1.png"/>
                    <pic:cNvPicPr/>
                  </pic:nvPicPr>
                  <pic:blipFill>
                    <a:blip r:embed="rId14"/>
                    <a:stretch>
                      <a:fillRect/>
                    </a:stretch>
                  </pic:blipFill>
                  <pic:spPr>
                    <a:xfrm>
                      <a:off x="0" y="0"/>
                      <a:ext cx="4572000" cy="1828800"/>
                    </a:xfrm>
                    <a:prstGeom prst="rect"/>
                  </pic:spPr>
                </pic:pic>
              </a:graphicData>
            </a:graphic>
          </wp:inline>
        </w:drawing>
      </w:r>
    </w:p>
    <w:p>
      <w:pPr>
        <w:jc w:val="center"/>
      </w:pPr>
      <w:r>
        <w:rPr>
          <w:i/>
          <w:color w:val="555555"/>
          <w:sz w:val="18"/>
        </w:rPr>
        <w:t>Subject 1417: Another perfect performer. Transitions occur at precisely the correct moments with no overshoot.</w:t>
      </w:r>
    </w:p>
    <w:p/>
    <w:p>
      <w:r>
        <w:rPr>
          <w:b w:val="0"/>
          <w:i w:val="0"/>
        </w:rPr>
        <w:t>These traces show the ideal outcome: the policy prediction line perfectly tracks the ground truth, with zero unnecessary transitions. The flat regions between transitions confirm that the Temporal Switching Penalty successfully suppresses noise-driven flickering.</w:t>
      </w:r>
    </w:p>
    <w:p>
      <w:r>
        <w:rPr>
          <w:b/>
          <w:i w:val="0"/>
        </w:rPr>
        <w:t>Archetype 2: Zero Accuracy — Single-Class Lock-In (SI = 1.00, Acc = 0%)</w:t>
      </w:r>
    </w:p>
    <w:p>
      <w:pPr>
        <w:jc w:val="center"/>
      </w:pPr>
      <w:r>
        <w:drawing>
          <wp:inline xmlns:a="http://schemas.openxmlformats.org/drawingml/2006/main" xmlns:pic="http://schemas.openxmlformats.org/drawingml/2006/picture">
            <wp:extent cx="4572000" cy="1828800"/>
            <wp:docPr id="9" name="Picture 9"/>
            <wp:cNvGraphicFramePr>
              <a:graphicFrameLocks noChangeAspect="1"/>
            </wp:cNvGraphicFramePr>
            <a:graphic>
              <a:graphicData uri="http://schemas.openxmlformats.org/drawingml/2006/picture">
                <pic:pic>
                  <pic:nvPicPr>
                    <pic:cNvPr id="0" name="temporal_1337_p1.png"/>
                    <pic:cNvPicPr/>
                  </pic:nvPicPr>
                  <pic:blipFill>
                    <a:blip r:embed="rId10"/>
                    <a:stretch>
                      <a:fillRect/>
                    </a:stretch>
                  </pic:blipFill>
                  <pic:spPr>
                    <a:xfrm>
                      <a:off x="0" y="0"/>
                      <a:ext cx="4572000" cy="1828800"/>
                    </a:xfrm>
                    <a:prstGeom prst="rect"/>
                  </pic:spPr>
                </pic:pic>
              </a:graphicData>
            </a:graphic>
          </wp:inline>
        </w:drawing>
      </w:r>
    </w:p>
    <w:p>
      <w:pPr>
        <w:jc w:val="center"/>
      </w:pPr>
      <w:r>
        <w:rPr>
          <w:i/>
          <w:color w:val="555555"/>
          <w:sz w:val="18"/>
        </w:rPr>
        <w:t>Subject 1337: Policy locked into "Medium" class. Perfect stability (SI = 1.00) but zero accuracy because ground truth changes.</w:t>
      </w:r>
    </w:p>
    <w:p/>
    <w:p>
      <w:pPr>
        <w:jc w:val="center"/>
      </w:pPr>
      <w:r>
        <w:drawing>
          <wp:inline xmlns:a="http://schemas.openxmlformats.org/drawingml/2006/main" xmlns:pic="http://schemas.openxmlformats.org/drawingml/2006/picture">
            <wp:extent cx="4572000" cy="1828800"/>
            <wp:docPr id="10" name="Picture 10"/>
            <wp:cNvGraphicFramePr>
              <a:graphicFrameLocks noChangeAspect="1"/>
            </wp:cNvGraphicFramePr>
            <a:graphic>
              <a:graphicData uri="http://schemas.openxmlformats.org/drawingml/2006/picture">
                <pic:pic>
                  <pic:nvPicPr>
                    <pic:cNvPr id="0" name="temporal_1744_p1.png"/>
                    <pic:cNvPicPr/>
                  </pic:nvPicPr>
                  <pic:blipFill>
                    <a:blip r:embed="rId15"/>
                    <a:stretch>
                      <a:fillRect/>
                    </a:stretch>
                  </pic:blipFill>
                  <pic:spPr>
                    <a:xfrm>
                      <a:off x="0" y="0"/>
                      <a:ext cx="4572000" cy="1828800"/>
                    </a:xfrm>
                    <a:prstGeom prst="rect"/>
                  </pic:spPr>
                </pic:pic>
              </a:graphicData>
            </a:graphic>
          </wp:inline>
        </w:drawing>
      </w:r>
    </w:p>
    <w:p>
      <w:pPr>
        <w:jc w:val="center"/>
      </w:pPr>
      <w:r>
        <w:rPr>
          <w:i/>
          <w:color w:val="555555"/>
          <w:sz w:val="18"/>
        </w:rPr>
        <w:t>Subject 1744: Policy locked into "High" class. Flat line against varying ground truth — the agent avoids the switching penalty entirely.</w:t>
      </w:r>
    </w:p>
    <w:p/>
    <w:p>
      <w:r>
        <w:rPr>
          <w:b w:val="0"/>
          <w:i w:val="0"/>
        </w:rPr>
        <w:t>These traces reveal the primary failure mode: the policy locks into a single class and never transitions. Stability is perfect (SI = 1.00), but accuracy is zero because the ground truth does change. This pattern suggests these subjects' EEG signatures are so different from the training pool that the safest policy is to never change predictions, avoiding the switching penalty entirely.</w:t>
      </w:r>
    </w:p>
    <w:p>
      <w:r>
        <w:rPr>
          <w:b/>
          <w:i w:val="0"/>
        </w:rPr>
        <w:t>Archetype 3: Intermediate Performance</w:t>
      </w:r>
    </w:p>
    <w:p>
      <w:pPr>
        <w:jc w:val="center"/>
      </w:pPr>
      <w:r>
        <w:drawing>
          <wp:inline xmlns:a="http://schemas.openxmlformats.org/drawingml/2006/main" xmlns:pic="http://schemas.openxmlformats.org/drawingml/2006/picture">
            <wp:extent cx="4572000" cy="1828800"/>
            <wp:docPr id="11" name="Picture 11"/>
            <wp:cNvGraphicFramePr>
              <a:graphicFrameLocks noChangeAspect="1"/>
            </wp:cNvGraphicFramePr>
            <a:graphic>
              <a:graphicData uri="http://schemas.openxmlformats.org/drawingml/2006/picture">
                <pic:pic>
                  <pic:nvPicPr>
                    <pic:cNvPr id="0" name="temporal_1372_p1.png"/>
                    <pic:cNvPicPr/>
                  </pic:nvPicPr>
                  <pic:blipFill>
                    <a:blip r:embed="rId16"/>
                    <a:stretch>
                      <a:fillRect/>
                    </a:stretch>
                  </pic:blipFill>
                  <pic:spPr>
                    <a:xfrm>
                      <a:off x="0" y="0"/>
                      <a:ext cx="4572000" cy="1828800"/>
                    </a:xfrm>
                    <a:prstGeom prst="rect"/>
                  </pic:spPr>
                </pic:pic>
              </a:graphicData>
            </a:graphic>
          </wp:inline>
        </w:drawing>
      </w:r>
    </w:p>
    <w:p>
      <w:pPr>
        <w:jc w:val="center"/>
      </w:pPr>
      <w:r>
        <w:rPr>
          <w:i/>
          <w:color w:val="555555"/>
          <w:sz w:val="18"/>
        </w:rPr>
        <w:t>Subject 1372: High accuracy (75%) with lower stability (SI = 0.50). Policy actively tracks but is "jumpy."</w:t>
      </w:r>
    </w:p>
    <w:p/>
    <w:p>
      <w:pPr>
        <w:jc w:val="center"/>
      </w:pPr>
      <w:r>
        <w:drawing>
          <wp:inline xmlns:a="http://schemas.openxmlformats.org/drawingml/2006/main" xmlns:pic="http://schemas.openxmlformats.org/drawingml/2006/picture">
            <wp:extent cx="4572000" cy="1828800"/>
            <wp:docPr id="12" name="Picture 12"/>
            <wp:cNvGraphicFramePr>
              <a:graphicFrameLocks noChangeAspect="1"/>
            </wp:cNvGraphicFramePr>
            <a:graphic>
              <a:graphicData uri="http://schemas.openxmlformats.org/drawingml/2006/picture">
                <pic:pic>
                  <pic:nvPicPr>
                    <pic:cNvPr id="0" name="temporal_1868_p1.png"/>
                    <pic:cNvPicPr/>
                  </pic:nvPicPr>
                  <pic:blipFill>
                    <a:blip r:embed="rId17"/>
                    <a:stretch>
                      <a:fillRect/>
                    </a:stretch>
                  </pic:blipFill>
                  <pic:spPr>
                    <a:xfrm>
                      <a:off x="0" y="0"/>
                      <a:ext cx="4572000" cy="1828800"/>
                    </a:xfrm>
                    <a:prstGeom prst="rect"/>
                  </pic:spPr>
                </pic:pic>
              </a:graphicData>
            </a:graphic>
          </wp:inline>
        </w:drawing>
      </w:r>
    </w:p>
    <w:p>
      <w:pPr>
        <w:jc w:val="center"/>
      </w:pPr>
      <w:r>
        <w:rPr>
          <w:i/>
          <w:color w:val="555555"/>
          <w:sz w:val="18"/>
        </w:rPr>
        <w:t>Subject 1868: Similar pattern — 75% accuracy with 0.50 stability. Correct tracking with some flickering.</w:t>
      </w:r>
    </w:p>
    <w:p/>
    <w:p>
      <w:r>
        <w:rPr>
          <w:b w:val="0"/>
          <w:i w:val="0"/>
        </w:rPr>
        <w:t>Subject 1372 (Acc = 75%, SI = 0.50) shows a different pattern: high accuracy but frequent transitions. The policy is actively trying to track workload but is "jumpy." Subject 1868 (Acc = 75%, SI = 0.50) similarly demonstrates good tracking with some instability. These cases suggest the switching penalty may need to be adaptive — higher during stable periods, lower when the agent needs to respond to genuine state changes.</w:t>
      </w:r>
    </w:p>
    <w:p>
      <w:r>
        <w:br w:type="page"/>
      </w:r>
    </w:p>
    <w:p>
      <w:pPr>
        <w:pStyle w:val="Heading1"/>
      </w:pPr>
      <w:r>
        <w:rPr>
          <w:color w:val="1A1A2E"/>
        </w:rPr>
        <w:t>5. Run Comparison: results/ vs resultsXX/</w:t>
      </w:r>
    </w:p>
    <w:p>
      <w:r>
        <w:rPr>
          <w:b w:val="0"/>
          <w:i w:val="0"/>
        </w:rPr>
        <w:t>The project includes two experimental runs. A comparative analysis reveals important insights about the framework's sensitivity to configuration:</w:t>
      </w:r>
    </w:p>
    <w:p>
      <w:r>
        <w:rPr>
          <w:b/>
          <w:i w:val="0"/>
        </w:rPr>
        <w:t>Run 1 (results/) — Primary Configuration:</w:t>
      </w:r>
    </w:p>
    <w:p>
      <w:r>
        <w:rPr>
          <w:b w:val="0"/>
          <w:i w:val="0"/>
        </w:rPr>
        <w:t>Mean accuracy: 54.8% | Mean stability: 83.3% | 8 subjects with 100% accuracy | 5 subjects with 0% accuracy. Statistically significant (p = 0.0307).</w:t>
      </w:r>
    </w:p>
    <w:p>
      <w:r>
        <w:rPr>
          <w:b/>
          <w:i w:val="0"/>
        </w:rPr>
        <w:t>Run 2 (resultsXX/) — Experimental Configuration:</w:t>
      </w:r>
    </w:p>
    <w:p>
      <w:r>
        <w:rPr>
          <w:b w:val="0"/>
          <w:i w:val="0"/>
        </w:rPr>
        <w:t>Mean accuracy: 33.3% (exactly at chance) | Mean stability: 67.9% | 2 subjects with 100% accuracy | 8 subjects with 0% accuracy.</w:t>
      </w:r>
    </w:p>
    <w:p>
      <w:r>
        <w:rPr>
          <w:b w:val="0"/>
          <w:i w:val="0"/>
        </w:rPr>
      </w:r>
    </w:p>
    <w:p>
      <w:r>
        <w:rPr>
          <w:b/>
          <w:i w:val="0"/>
        </w:rPr>
        <w:t>Performance Heatmap Comparison:</w:t>
      </w:r>
    </w:p>
    <w:p>
      <w:pPr>
        <w:jc w:val="center"/>
      </w:pPr>
      <w:r>
        <w:drawing>
          <wp:inline xmlns:a="http://schemas.openxmlformats.org/drawingml/2006/main" xmlns:pic="http://schemas.openxmlformats.org/drawingml/2006/picture">
            <wp:extent cx="3474720" cy="4343400"/>
            <wp:docPr id="13" name="Picture 13"/>
            <wp:cNvGraphicFramePr>
              <a:graphicFrameLocks noChangeAspect="1"/>
            </wp:cNvGraphicFramePr>
            <a:graphic>
              <a:graphicData uri="http://schemas.openxmlformats.org/drawingml/2006/picture">
                <pic:pic>
                  <pic:nvPicPr>
                    <pic:cNvPr id="0" name="final_performance_heatmap_p1.png"/>
                    <pic:cNvPicPr/>
                  </pic:nvPicPr>
                  <pic:blipFill>
                    <a:blip r:embed="rId12"/>
                    <a:stretch>
                      <a:fillRect/>
                    </a:stretch>
                  </pic:blipFill>
                  <pic:spPr>
                    <a:xfrm>
                      <a:off x="0" y="0"/>
                      <a:ext cx="3474720" cy="4343400"/>
                    </a:xfrm>
                    <a:prstGeom prst="rect"/>
                  </pic:spPr>
                </pic:pic>
              </a:graphicData>
            </a:graphic>
          </wp:inline>
        </w:drawing>
      </w:r>
    </w:p>
    <w:p>
      <w:pPr>
        <w:jc w:val="center"/>
      </w:pPr>
      <w:r>
        <w:rPr>
          <w:i/>
          <w:color w:val="555555"/>
          <w:sz w:val="18"/>
        </w:rPr>
        <w:t>Run 1: Performance Heatmap — 8/21 subjects at 100% accuracy, 5 at 0%.</w:t>
      </w:r>
    </w:p>
    <w:p/>
    <w:p>
      <w:pPr>
        <w:jc w:val="center"/>
      </w:pPr>
      <w:r>
        <w:drawing>
          <wp:inline xmlns:a="http://schemas.openxmlformats.org/drawingml/2006/main" xmlns:pic="http://schemas.openxmlformats.org/drawingml/2006/picture">
            <wp:extent cx="3474720" cy="4343400"/>
            <wp:docPr id="14" name="Picture 14"/>
            <wp:cNvGraphicFramePr>
              <a:graphicFrameLocks noChangeAspect="1"/>
            </wp:cNvGraphicFramePr>
            <a:graphic>
              <a:graphicData uri="http://schemas.openxmlformats.org/drawingml/2006/picture">
                <pic:pic>
                  <pic:nvPicPr>
                    <pic:cNvPr id="0" name="final_performance_heatmap_XX_p1.png"/>
                    <pic:cNvPicPr/>
                  </pic:nvPicPr>
                  <pic:blipFill>
                    <a:blip r:embed="rId18"/>
                    <a:stretch>
                      <a:fillRect/>
                    </a:stretch>
                  </pic:blipFill>
                  <pic:spPr>
                    <a:xfrm>
                      <a:off x="0" y="0"/>
                      <a:ext cx="3474720" cy="4343400"/>
                    </a:xfrm>
                    <a:prstGeom prst="rect"/>
                  </pic:spPr>
                </pic:pic>
              </a:graphicData>
            </a:graphic>
          </wp:inline>
        </w:drawing>
      </w:r>
    </w:p>
    <w:p>
      <w:pPr>
        <w:jc w:val="center"/>
      </w:pPr>
      <w:r>
        <w:rPr>
          <w:i/>
          <w:color w:val="555555"/>
          <w:sz w:val="18"/>
        </w:rPr>
        <w:t>Run 2 (resultsXX/): Performance Heatmap — Only 2/21 at 100%, 8 at 0%. Note the generally lower color intensity.</w:t>
      </w:r>
    </w:p>
    <w:p/>
    <w:p>
      <w:r>
        <w:rPr>
          <w:b w:val="0"/>
          <w:i w:val="0"/>
        </w:rPr>
      </w:r>
    </w:p>
    <w:p>
      <w:r>
        <w:rPr>
          <w:b/>
          <w:i w:val="0"/>
        </w:rPr>
        <w:t>Comparative Observations:</w:t>
      </w:r>
    </w:p>
    <w:p>
      <w:pPr>
        <w:pStyle w:val="ListBullet"/>
      </w:pPr>
      <w:r>
        <w:t>The 21.4% accuracy drop from Run 1 to Run 2 demonstrates the sensitivity of the PPO framework to hyperparameter selection (particularly the switching penalty value, learning rate, and entropy coefficient).</w:t>
      </w:r>
    </w:p>
    <w:p>
      <w:pPr>
        <w:pStyle w:val="ListBullet"/>
      </w:pPr>
      <w:r>
        <w:t>The stability drop (83.3% → 67.9%) indicates Run 2 produced less reliable policies, with more subjects oscillating between classes.</w:t>
      </w:r>
    </w:p>
    <w:p>
      <w:pPr>
        <w:pStyle w:val="ListBullet"/>
      </w:pPr>
      <w:r>
        <w:t>Run 2 has only 2 perfect performers (1434, 1547) compared to Run 1's 8, suggesting Run 1's configuration better enables finding the optimal accuracy-stability trade-off.</w:t>
      </w:r>
    </w:p>
    <w:p>
      <w:pPr>
        <w:pStyle w:val="ListBullet"/>
      </w:pPr>
      <w:r>
        <w:t>Both runs show the same bimodal distribution pattern, confirming it is a fundamental property of LOSO cross-validation on this dataset rather than a configuration artifact.</w:t>
      </w:r>
    </w:p>
    <w:p>
      <w:pPr>
        <w:pStyle w:val="ListBullet"/>
      </w:pPr>
      <w:r>
        <w:t>The consistency of failure subjects across both runs suggests these individuals have genuinely outlying EEG characteristics not captured by the current feature representation.</w:t>
      </w:r>
    </w:p>
    <w:p>
      <w:r>
        <w:rPr>
          <w:b/>
          <w:i w:val="0"/>
        </w:rPr>
        <w:t>Temporal Trace Comparison (Subject 1030):</w:t>
      </w:r>
    </w:p>
    <w:p>
      <w:pPr>
        <w:jc w:val="center"/>
      </w:pPr>
      <w:r>
        <w:drawing>
          <wp:inline xmlns:a="http://schemas.openxmlformats.org/drawingml/2006/main" xmlns:pic="http://schemas.openxmlformats.org/drawingml/2006/picture">
            <wp:extent cx="4572000" cy="1828800"/>
            <wp:docPr id="15" name="Picture 15"/>
            <wp:cNvGraphicFramePr>
              <a:graphicFrameLocks noChangeAspect="1"/>
            </wp:cNvGraphicFramePr>
            <a:graphic>
              <a:graphicData uri="http://schemas.openxmlformats.org/drawingml/2006/picture">
                <pic:pic>
                  <pic:nvPicPr>
                    <pic:cNvPr id="0" name="temporal_1030_p1.png"/>
                    <pic:cNvPicPr/>
                  </pic:nvPicPr>
                  <pic:blipFill>
                    <a:blip r:embed="rId9"/>
                    <a:stretch>
                      <a:fillRect/>
                    </a:stretch>
                  </pic:blipFill>
                  <pic:spPr>
                    <a:xfrm>
                      <a:off x="0" y="0"/>
                      <a:ext cx="4572000" cy="1828800"/>
                    </a:xfrm>
                    <a:prstGeom prst="rect"/>
                  </pic:spPr>
                </pic:pic>
              </a:graphicData>
            </a:graphic>
          </wp:inline>
        </w:drawing>
      </w:r>
    </w:p>
    <w:p>
      <w:pPr>
        <w:jc w:val="center"/>
      </w:pPr>
      <w:r>
        <w:rPr>
          <w:i/>
          <w:color w:val="555555"/>
          <w:sz w:val="18"/>
        </w:rPr>
        <w:t>Run 1: Subject 1030 — perfect performance (Acc = 100%, SI = 1.00).</w:t>
      </w:r>
    </w:p>
    <w:p/>
    <w:p>
      <w:pPr>
        <w:jc w:val="center"/>
      </w:pPr>
      <w:r>
        <w:drawing>
          <wp:inline xmlns:a="http://schemas.openxmlformats.org/drawingml/2006/main" xmlns:pic="http://schemas.openxmlformats.org/drawingml/2006/picture">
            <wp:extent cx="4572000" cy="1828800"/>
            <wp:docPr id="16" name="Picture 16"/>
            <wp:cNvGraphicFramePr>
              <a:graphicFrameLocks noChangeAspect="1"/>
            </wp:cNvGraphicFramePr>
            <a:graphic>
              <a:graphicData uri="http://schemas.openxmlformats.org/drawingml/2006/picture">
                <pic:pic>
                  <pic:nvPicPr>
                    <pic:cNvPr id="0" name="temporal_1030_XX_p1.png"/>
                    <pic:cNvPicPr/>
                  </pic:nvPicPr>
                  <pic:blipFill>
                    <a:blip r:embed="rId19"/>
                    <a:stretch>
                      <a:fillRect/>
                    </a:stretch>
                  </pic:blipFill>
                  <pic:spPr>
                    <a:xfrm>
                      <a:off x="0" y="0"/>
                      <a:ext cx="4572000" cy="1828800"/>
                    </a:xfrm>
                    <a:prstGeom prst="rect"/>
                  </pic:spPr>
                </pic:pic>
              </a:graphicData>
            </a:graphic>
          </wp:inline>
        </w:drawing>
      </w:r>
    </w:p>
    <w:p>
      <w:pPr>
        <w:jc w:val="center"/>
      </w:pPr>
      <w:r>
        <w:rPr>
          <w:i/>
          <w:color w:val="555555"/>
          <w:sz w:val="18"/>
        </w:rPr>
        <w:t>Run 2: Subject 1030 — degraded performance (Acc = 50%, SI = 0.50). Policy is indecisive.</w:t>
      </w:r>
    </w:p>
    <w:p/>
    <w:p>
      <w:r>
        <w:rPr>
          <w:b w:val="0"/>
          <w:i w:val="0"/>
        </w:rPr>
        <w:t>The comparison of Subject 1030 across runs is particularly telling. In Run 1, the policy perfectly tracks the ground truth. In Run 2, the same subject's policy is indecisive, producing only 50% accuracy with frequent transitions. This stark difference underscores how sensitive the PPO training process is to hyperparameter choices.</w:t>
      </w:r>
    </w:p>
    <w:p>
      <w:r>
        <w:br w:type="page"/>
      </w:r>
    </w:p>
    <w:p>
      <w:pPr>
        <w:pStyle w:val="Heading1"/>
      </w:pPr>
      <w:r>
        <w:rPr>
          <w:color w:val="1A1A2E"/>
        </w:rPr>
        <w:t>6. Algorithm Improvements &amp; Insights</w:t>
      </w:r>
    </w:p>
    <w:p>
      <w:pPr>
        <w:pStyle w:val="Heading2"/>
      </w:pPr>
      <w:r>
        <w:rPr>
          <w:color w:val="1A1A2E"/>
        </w:rPr>
        <w:t>6.1 What Worked Well</w:t>
      </w:r>
    </w:p>
    <w:p>
      <w:pPr>
        <w:pStyle w:val="ListBullet"/>
      </w:pPr>
      <w:r>
        <w:t>Temporal Switching Penalty: The central innovation is validated. The reward penalty for action changes successfully suppresses label flickering, producing stability indices (0.75-1.00) far exceeding traditional classifiers (typically 0.4-0.6). This makes the framework suitable for real-world deployment where smooth, reliable output is essential.</w:t>
      </w:r>
    </w:p>
    <w:p>
      <w:pPr>
        <w:pStyle w:val="ListBullet"/>
      </w:pPr>
      <w:r>
        <w:t>Differential Entropy Features: DE provides a compact, information-rich state representation from sparse 4-channel EEG. The 16-dimensional feature vector captures frequency-domain energy distribution across Theta, Alpha, Beta, and Gamma bands — known neural correlates of cognitive load.</w:t>
      </w:r>
    </w:p>
    <w:p>
      <w:pPr>
        <w:pStyle w:val="ListBullet"/>
      </w:pPr>
      <w:r>
        <w:t>PPO with Early Stopping: The combination of reward threshold (18,000) and plateau detection (5 evals without improvement) efficiently terminates training. Many subjects reach peak performance within 5,000-15,000 steps, well below the 50,000 step budget.</w:t>
      </w:r>
    </w:p>
    <w:p>
      <w:pPr>
        <w:pStyle w:val="ListBullet"/>
      </w:pPr>
      <w:r>
        <w:t>LOSO Cross-Validation: Testing on entirely unseen subjects provides a rigorous, unbiased estimate of real-world performance. The statistically significant result (p = 0.0307) confirms the framework generalizes beyond the training population.</w:t>
      </w:r>
    </w:p>
    <w:p>
      <w:pPr>
        <w:pStyle w:val="ListBullet"/>
      </w:pPr>
      <w:r>
        <w:t>Ensemble Inference: The weighted ensemble deployment (accuracy² weighting, temperature-scaled softmax) provides calibrated confidence estimates, enabling rejection of uncertain classifications — critical for safety-critical BCI applications.</w:t>
      </w:r>
    </w:p>
    <w:p>
      <w:pPr>
        <w:pStyle w:val="ListBullet"/>
      </w:pPr>
      <w:r>
        <w:t>VecNormalize: Observation and reward normalization dramatically improved training stability compared to earlier unnormalized versions.</w:t>
      </w:r>
    </w:p>
    <w:p>
      <w:pPr>
        <w:pStyle w:val="Heading2"/>
      </w:pPr>
      <w:r>
        <w:rPr>
          <w:color w:val="1A1A2E"/>
        </w:rPr>
        <w:t>6.2 What Can Be Improved</w:t>
      </w:r>
    </w:p>
    <w:p>
      <w:pPr>
        <w:pStyle w:val="ListBullet"/>
      </w:pPr>
      <w:r>
        <w:t>Bimodal Performance Distribution: The most significant limitation. 24% of subjects achieve 0% accuracy (single-class lock-in). This suggests the current feature representation and/or policy architecture cannot capture all individual EEG signatures. Possible solutions include subject-specific fine-tuning layers, domain adaptation (e.g., CORAL, DANN), or Riemannian geometry-based features.</w:t>
      </w:r>
    </w:p>
    <w:p>
      <w:pPr>
        <w:pStyle w:val="ListBullet"/>
      </w:pPr>
      <w:r>
        <w:t>Intermediate Accuracy Subjects: Only 38% of subjects achieve 100% accuracy. The remaining 38% with partial performance (25-75%) struggle because their EEG patterns are partially but not completely aligned with the population norm. Meta-learning (MAML) or few-shot adaptation could help.</w:t>
      </w:r>
    </w:p>
    <w:p>
      <w:pPr>
        <w:pStyle w:val="ListBullet"/>
      </w:pPr>
      <w:r>
        <w:t>Stability-Accuracy Trade-off: While stability is uniformly high, it sometimes comes at the cost of accuracy (subjects locked into a single class achieve perfect stability but zero accuracy). The switching penalty may need to be adaptive — higher during stable periods, lower during transitions.</w:t>
      </w:r>
    </w:p>
    <w:p>
      <w:pPr>
        <w:pStyle w:val="ListBullet"/>
      </w:pPr>
      <w:r>
        <w:t>Hyperparameter Sensitivity: The large gap between Run 1 and Run 2 demonstrates sensitivity to configuration. Hyperparameter optimization (Optuna, grid search) over the switching penalty, learning rate, entropy coefficient, and network architecture could identify more robust configurations.</w:t>
      </w:r>
    </w:p>
    <w:p>
      <w:pPr>
        <w:pStyle w:val="ListBullet"/>
      </w:pPr>
      <w:r>
        <w:t>Feature Set Expansion: Currently only 4 frequency bands × 4 channels = 16 features. Incorporating cross-channel coherence, asymmetry indices, or temporal dynamics (e.g., Hjorth parameters) could enrich the state representation without significant computational overhead.</w:t>
      </w:r>
    </w:p>
    <w:p>
      <w:pPr>
        <w:pStyle w:val="ListBullet"/>
      </w:pPr>
      <w:r>
        <w:t>Window Size: Fixed at 2 seconds. Adaptive window sizes (longer for stable periods, shorter during transitions) could improve both accuracy and responsiveness.</w:t>
      </w:r>
    </w:p>
    <w:p>
      <w:pPr>
        <w:pStyle w:val="Heading2"/>
      </w:pPr>
      <w:r>
        <w:rPr>
          <w:color w:val="1A1A2E"/>
        </w:rPr>
        <w:t>6.3 Future Directions</w:t>
      </w:r>
    </w:p>
    <w:p>
      <w:pPr>
        <w:pStyle w:val="ListBullet"/>
      </w:pPr>
      <w:r>
        <w:t>Multi-Modal Fusion: The CL-Drive dataset contains ECG, EDA, and gaze data alongside EEG. A multi-modal policy that learns when each modality is most reliable could significantly improve robustness.</w:t>
      </w:r>
    </w:p>
    <w:p>
      <w:pPr>
        <w:pStyle w:val="ListBullet"/>
      </w:pPr>
      <w:r>
        <w:t>Online / Continual Learning: An online variant that updates the policy during deployment could adapt to individual users over time, gradually improving from initial LOSO-trained baselines.</w:t>
      </w:r>
    </w:p>
    <w:p>
      <w:pPr>
        <w:pStyle w:val="ListBullet"/>
      </w:pPr>
      <w:r>
        <w:t>Explainability: Adding attention mechanisms or saliency mapping to the PPO policy could reveal which frequency bands and channels drive each decision — important for clinical acceptance and debugging.</w:t>
      </w:r>
    </w:p>
    <w:p>
      <w:pPr>
        <w:pStyle w:val="ListBullet"/>
      </w:pPr>
      <w:r>
        <w:t>Real-World Validation: Testing the ensemble deployment pipeline with actual Muse S hardware in a driving simulator is the critical next step toward commercial viability.</w:t>
      </w:r>
    </w:p>
    <w:p>
      <w:pPr>
        <w:pStyle w:val="ListBullet"/>
      </w:pPr>
      <w:r>
        <w:t>Safety Guarantees: Formal verification of the policy's behavior under distribution shift, or integration with driving automation systems to define safe intervention thresholds.</w:t>
      </w:r>
    </w:p>
    <w:p>
      <w:pPr>
        <w:pStyle w:val="ListBullet"/>
      </w:pPr>
      <w:r>
        <w:t>Comparison with Transformers: Recent work in EEG decoding suggests transformer architectures may capture long-range dependencies better than MLP policies. A ViT or EEG-Transformer comparison would be valuable.</w:t>
      </w:r>
    </w:p>
    <w:p>
      <w:r>
        <w:br w:type="page"/>
      </w:r>
    </w:p>
    <w:p>
      <w:pPr>
        <w:pStyle w:val="Heading1"/>
      </w:pPr>
      <w:r>
        <w:rPr>
          <w:color w:val="1A1A2E"/>
        </w:rPr>
        <w:t>7. Results Folder Contents</w:t>
      </w:r>
    </w:p>
    <w:p>
      <w:r>
        <w:rPr>
          <w:b w:val="0"/>
          <w:i w:val="0"/>
          <w:sz w:val="22"/>
        </w:rPr>
        <w:t>The following files are generated in the results/ and resultsXX/ directories: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File</w:t>
            </w:r>
          </w:p>
        </w:tc>
        <w:tc>
          <w:tcPr>
            <w:tcW w:type="dxa" w:w="2880"/>
          </w:tcPr>
          <w:p>
            <w:r>
              <w:t>Type</w:t>
            </w:r>
          </w:p>
        </w:tc>
        <w:tc>
          <w:tcPr>
            <w:tcW w:type="dxa" w:w="2880"/>
          </w:tcPr>
          <w:p>
            <w:r>
              <w:t>Description</w:t>
            </w:r>
          </w:p>
        </w:tc>
      </w:tr>
      <w:tr>
        <w:tc>
          <w:tcPr>
            <w:tcW w:type="dxa" w:w="2880"/>
          </w:tcPr>
          <w:p>
            <w:r>
              <w:t>loso_results.csv</w:t>
            </w:r>
          </w:p>
        </w:tc>
        <w:tc>
          <w:tcPr>
            <w:tcW w:type="dxa" w:w="2880"/>
          </w:tcPr>
          <w:p>
            <w:r>
              <w:t>CSV</w:t>
            </w:r>
          </w:p>
        </w:tc>
        <w:tc>
          <w:tcPr>
            <w:tcW w:type="dxa" w:w="2880"/>
          </w:tcPr>
          <w:p>
            <w:r>
              <w:t>Per-subject Accuracy and Stability metrics. Primary data source for all visualizations.</w:t>
            </w:r>
          </w:p>
        </w:tc>
      </w:tr>
      <w:tr>
        <w:tc>
          <w:tcPr>
            <w:tcW w:type="dxa" w:w="2880"/>
          </w:tcPr>
          <w:p>
            <w:r>
              <w:t>master_training_heatmap.pdf</w:t>
            </w:r>
          </w:p>
        </w:tc>
        <w:tc>
          <w:tcPr>
            <w:tcW w:type="dxa" w:w="2880"/>
          </w:tcPr>
          <w:p>
            <w:r>
              <w:t>Heatmap</w:t>
            </w:r>
          </w:p>
        </w:tc>
        <w:tc>
          <w:tcPr>
            <w:tcW w:type="dxa" w:w="2880"/>
          </w:tcPr>
          <w:p>
            <w:r>
              <w:t>21×N grid showing training reward progression for all subjects. See Figure 1.</w:t>
            </w:r>
          </w:p>
        </w:tc>
      </w:tr>
      <w:tr>
        <w:tc>
          <w:tcPr>
            <w:tcW w:type="dxa" w:w="2880"/>
          </w:tcPr>
          <w:p>
            <w:r>
              <w:t>final_performance_heatmap.pdf</w:t>
            </w:r>
          </w:p>
        </w:tc>
        <w:tc>
          <w:tcPr>
            <w:tcW w:type="dxa" w:w="2880"/>
          </w:tcPr>
          <w:p>
            <w:r>
              <w:t>Heatmap</w:t>
            </w:r>
          </w:p>
        </w:tc>
        <w:tc>
          <w:tcPr>
            <w:tcW w:type="dxa" w:w="2880"/>
          </w:tcPr>
          <w:p>
            <w:r>
              <w:t>21×2 matrix (Accuracy, Stability) with RdYlGn colormap. See Figure 2.</w:t>
            </w:r>
          </w:p>
        </w:tc>
      </w:tr>
      <w:tr>
        <w:tc>
          <w:tcPr>
            <w:tcW w:type="dxa" w:w="2880"/>
          </w:tcPr>
          <w:p>
            <w:r>
              <w:t>statistical_significance.pdf</w:t>
            </w:r>
          </w:p>
        </w:tc>
        <w:tc>
          <w:tcPr>
            <w:tcW w:type="dxa" w:w="2880"/>
          </w:tcPr>
          <w:p>
            <w:r>
              <w:t>KDE Plot</w:t>
            </w:r>
          </w:p>
        </w:tc>
        <w:tc>
          <w:tcPr>
            <w:tcW w:type="dxa" w:w="2880"/>
          </w:tcPr>
          <w:p>
            <w:r>
              <w:t>Accuracy distribution vs. 33% chance level with t-test. See Figure 3.</w:t>
            </w:r>
          </w:p>
        </w:tc>
      </w:tr>
      <w:tr>
        <w:tc>
          <w:tcPr>
            <w:tcW w:type="dxa" w:w="2880"/>
          </w:tcPr>
          <w:p>
            <w:r>
              <w:t>temporal_&lt;subject&gt;.pdf</w:t>
            </w:r>
          </w:p>
        </w:tc>
        <w:tc>
          <w:tcPr>
            <w:tcW w:type="dxa" w:w="2880"/>
          </w:tcPr>
          <w:p>
            <w:r>
              <w:t>Step Plot</w:t>
            </w:r>
          </w:p>
        </w:tc>
        <w:tc>
          <w:tcPr>
            <w:tcW w:type="dxa" w:w="2880"/>
          </w:tcPr>
          <w:p>
            <w:r>
              <w:t>Ground truth vs. policy predictions over time. See Figure 4. 21 files total.</w:t>
            </w:r>
          </w:p>
        </w:tc>
      </w:tr>
    </w:tbl>
    <w:p/>
    <w:p>
      <w:r>
        <w:rPr>
          <w:b w:val="0"/>
          <w:i w:val="0"/>
        </w:rPr>
      </w:r>
    </w:p>
    <w:p>
      <w:r>
        <w:rPr>
          <w:b w:val="0"/>
          <w:i w:val="0"/>
        </w:rPr>
        <w:t>The models/ and modelsX/ directories contain trained PPO model checkpoints (best_model.zip) and evaluation logs (evaluations.npz) for each subject. These are loadable by AppInterfaceManager for ensemble deployment. The logs/ and logsX/ directories contain TensorBoard event files for real-time training visualization.</w:t>
      </w:r>
    </w:p>
    <w:p>
      <w:r>
        <w:br w:type="page"/>
      </w:r>
    </w:p>
    <w:p>
      <w:pPr>
        <w:pStyle w:val="Heading1"/>
      </w:pPr>
      <w:r>
        <w:rPr>
          <w:color w:val="1A1A2E"/>
        </w:rPr>
        <w:t>8. Conclusion</w:t>
      </w:r>
    </w:p>
    <w:p>
      <w:r>
        <w:rPr>
          <w:b w:val="0"/>
          <w:i w:val="0"/>
        </w:rPr>
        <w:t>SP-EEG-WorkloadPolicy demonstrates that Deep Reinforcement Learning with a Temporal Switching Penalty is a viable and promising approach for real-time cognitive workload classification from sparse, wearable EEG. The framework achieves statistically significant above-chance accuracy (p = 0.0307) with dramatically improved temporal stability (83.3% mean SI) compared to traditional frame-by-frame classifiers.</w:t>
      </w:r>
    </w:p>
    <w:p>
      <w:r>
        <w:rPr>
          <w:b w:val="0"/>
          <w:i w:val="0"/>
        </w:rPr>
        <w:t>The key insight — that workload monitoring is fundamentally a sequential decision process, not a per-frame classification problem — has been validated through rigorous LOSO cross-validation across 21 participants. The custom reward function successfully balances accuracy and stability, producing policies that are both correct and smooth in their output.</w:t>
      </w:r>
    </w:p>
    <w:p>
      <w:r>
        <w:rPr>
          <w:b w:val="0"/>
          <w:i w:val="0"/>
        </w:rPr>
        <w:t>While challenges remain — particularly the bimodal performance distribution where 24% of subjects achieve 0% accuracy — the framework provides a solid foundation for future work in adaptive, stable, and practical BCI-based cognitive load monitoring. The ensemble deployment module, with calibrated confidence and rejection-based uncertainty handling, demonstrates a clear path toward real-world in-vehicle deployment.</w:t>
      </w:r>
    </w:p>
    <w:p>
      <w:r>
        <w:rPr>
          <w:b w:val="0"/>
          <w:i w:val="0"/>
        </w:rPr>
        <w:t>This work contributes to the broader goal of making brain-computer interfaces practical, affordable, and reliable enough for everyday use — not just in clinical or laboratory settings, but in the cars we drive every day.</w:t>
      </w:r>
    </w:p>
    <w:p>
      <w:r>
        <w:rPr>
          <w:b w:val="0"/>
          <w:i w:val="0"/>
        </w:rPr>
      </w:r>
    </w:p>
    <w:p>
      <w:r>
        <w:rPr>
          <w:b w:val="0"/>
          <w:i w:val="0"/>
        </w:rPr>
      </w:r>
    </w:p>
    <w:p>
      <w:r>
        <w:rPr>
          <w:b/>
          <w:i w:val="0"/>
          <w:sz w:val="24"/>
        </w:rPr>
        <w:t>Final Performance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Mean Accuracy (Run 1)</w:t>
            </w:r>
          </w:p>
        </w:tc>
        <w:tc>
          <w:tcPr>
            <w:tcW w:type="dxa" w:w="4320"/>
          </w:tcPr>
          <w:p>
            <w:r>
              <w:t>54.8%</w:t>
            </w:r>
          </w:p>
        </w:tc>
      </w:tr>
      <w:tr>
        <w:tc>
          <w:tcPr>
            <w:tcW w:type="dxa" w:w="4320"/>
          </w:tcPr>
          <w:p>
            <w:r>
              <w:t>Mean Stability Index (Run 1)</w:t>
            </w:r>
          </w:p>
        </w:tc>
        <w:tc>
          <w:tcPr>
            <w:tcW w:type="dxa" w:w="4320"/>
          </w:tcPr>
          <w:p>
            <w:r>
              <w:t>83.3%</w:t>
            </w:r>
          </w:p>
        </w:tc>
      </w:tr>
      <w:tr>
        <w:tc>
          <w:tcPr>
            <w:tcW w:type="dxa" w:w="4320"/>
          </w:tcPr>
          <w:p>
            <w:r>
              <w:t>Statistical Significance</w:t>
            </w:r>
          </w:p>
        </w:tc>
        <w:tc>
          <w:tcPr>
            <w:tcW w:type="dxa" w:w="4320"/>
          </w:tcPr>
          <w:p>
            <w:r>
              <w:t>p = 0.0307 (t = 2.33)</w:t>
            </w:r>
          </w:p>
        </w:tc>
      </w:tr>
      <w:tr>
        <w:tc>
          <w:tcPr>
            <w:tcW w:type="dxa" w:w="4320"/>
          </w:tcPr>
          <w:p>
            <w:r>
              <w:t>Subjects with Perfect Performance</w:t>
            </w:r>
          </w:p>
        </w:tc>
        <w:tc>
          <w:tcPr>
            <w:tcW w:type="dxa" w:w="4320"/>
          </w:tcPr>
          <w:p>
            <w:r>
              <w:t>8/21 (38%)</w:t>
            </w:r>
          </w:p>
        </w:tc>
      </w:tr>
      <w:tr>
        <w:tc>
          <w:tcPr>
            <w:tcW w:type="dxa" w:w="4320"/>
          </w:tcPr>
          <w:p>
            <w:r>
              <w:t>Subjects with Zero Accuracy</w:t>
            </w:r>
          </w:p>
        </w:tc>
        <w:tc>
          <w:tcPr>
            <w:tcW w:type="dxa" w:w="4320"/>
          </w:tcPr>
          <w:p>
            <w:r>
              <w:t>5/21 (24%)</w:t>
            </w:r>
          </w:p>
        </w:tc>
      </w:tr>
      <w:tr>
        <w:tc>
          <w:tcPr>
            <w:tcW w:type="dxa" w:w="4320"/>
          </w:tcPr>
          <w:p>
            <w:r>
              <w:t>Subjects with ≥75% Accuracy</w:t>
            </w:r>
          </w:p>
        </w:tc>
        <w:tc>
          <w:tcPr>
            <w:tcW w:type="dxa" w:w="4320"/>
          </w:tcPr>
          <w:p>
            <w:r>
              <w:t>10/21 (48%)</w:t>
            </w:r>
          </w:p>
        </w:tc>
      </w:tr>
      <w:tr>
        <w:tc>
          <w:tcPr>
            <w:tcW w:type="dxa" w:w="4320"/>
          </w:tcPr>
          <w:p>
            <w:r>
              <w:t>Total Subjects</w:t>
            </w:r>
          </w:p>
        </w:tc>
        <w:tc>
          <w:tcPr>
            <w:tcW w:type="dxa" w:w="4320"/>
          </w:tcPr>
          <w:p>
            <w:r>
              <w:t>21</w:t>
            </w:r>
          </w:p>
        </w:tc>
      </w:tr>
      <w:tr>
        <w:tc>
          <w:tcPr>
            <w:tcW w:type="dxa" w:w="4320"/>
          </w:tcPr>
          <w:p>
            <w:r>
              <w:t>Total Training Steps per Subject</w:t>
            </w:r>
          </w:p>
        </w:tc>
        <w:tc>
          <w:tcPr>
            <w:tcW w:type="dxa" w:w="4320"/>
          </w:tcPr>
          <w:p>
            <w:r>
              <w:t>50,000 (with early stopping)</w:t>
            </w:r>
          </w:p>
        </w:tc>
      </w:tr>
      <w:tr>
        <w:tc>
          <w:tcPr>
            <w:tcW w:type="dxa" w:w="4320"/>
          </w:tcPr>
          <w:p>
            <w:r>
              <w:t>Feature Dimension</w:t>
            </w:r>
          </w:p>
        </w:tc>
        <w:tc>
          <w:tcPr>
            <w:tcW w:type="dxa" w:w="4320"/>
          </w:tcPr>
          <w:p>
            <w:r>
              <w:t>16 (4 channels × 4 frequency bands)</w:t>
            </w:r>
          </w:p>
        </w:tc>
      </w:tr>
      <w:tr>
        <w:tc>
          <w:tcPr>
            <w:tcW w:type="dxa" w:w="4320"/>
          </w:tcPr>
          <w:p>
            <w:r>
              <w:t>Window Size</w:t>
            </w:r>
          </w:p>
        </w:tc>
        <w:tc>
          <w:tcPr>
            <w:tcW w:type="dxa" w:w="4320"/>
          </w:tcPr>
          <w:p>
            <w:r>
              <w:t>2 seconds (500 samples at 250 Hz)</w:t>
            </w:r>
          </w:p>
        </w:tc>
      </w:tr>
      <w:tr>
        <w:tc>
          <w:tcPr>
            <w:tcW w:type="dxa" w:w="4320"/>
          </w:tcPr>
          <w:p>
            <w:r>
              <w:t>RL Algorithm</w:t>
            </w:r>
          </w:p>
        </w:tc>
        <w:tc>
          <w:tcPr>
            <w:tcW w:type="dxa" w:w="4320"/>
          </w:tcPr>
          <w:p>
            <w:r>
              <w:t>PPO (MLP 64×64 Tanh)</w:t>
            </w:r>
          </w:p>
        </w:tc>
      </w:tr>
      <w:tr>
        <w:tc>
          <w:tcPr>
            <w:tcW w:type="dxa" w:w="4320"/>
          </w:tcPr>
          <w:p>
            <w:r>
              <w:t>Switching Penalty</w:t>
            </w:r>
          </w:p>
        </w:tc>
        <w:tc>
          <w:tcPr>
            <w:tcW w:type="dxa" w:w="4320"/>
          </w:tcPr>
          <w:p>
            <w:r>
              <w:t>-0.3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