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pBdr>
          <w:bottom w:val="single" w:color="2E75B6" w:sz="12" w:space="4"/>
        </w:pBdr>
        <w:spacing w:after="200" w:before="0"/>
        <w:jc w:val="center"/>
      </w:pPr>
      <w:r>
        <w:rPr>
          <w:rFonts w:ascii="Arial" w:cs="Arial" w:eastAsia="Arial" w:hAnsi="Arial"/>
          <w:b/>
          <w:bCs/>
          <w:caps/>
          <w:color w:val="1F4E79"/>
          <w:sz w:val="40"/>
          <w:szCs w:val="40"/>
        </w:rPr>
        <w:t xml:space="preserve">PROJECT SYNOPSIS</w:t>
      </w:r>
    </w:p>
    <w:p>
      <w:pPr>
        <w:spacing w:after="60" w:before="0"/>
      </w:pPr>
      <w:r>
        <w:t xml:space="preserve"/>
      </w:r>
    </w:p>
    <w:p>
      <w:pPr>
        <w:spacing w:after="40" w:before="80"/>
        <w:jc w:val="center"/>
      </w:pPr>
      <w:r>
        <w:rPr>
          <w:rFonts w:ascii="Arial" w:cs="Arial" w:eastAsia="Arial" w:hAnsi="Arial"/>
          <w:b/>
          <w:bCs/>
          <w:color w:val="1F4E79"/>
          <w:sz w:val="36"/>
          <w:szCs w:val="36"/>
        </w:rPr>
        <w:t xml:space="preserve">SmartGrid Guardian:</w:t>
      </w:r>
    </w:p>
    <w:p>
      <w:pPr>
        <w:spacing w:after="120" w:before="0"/>
        <w:jc w:val="center"/>
      </w:pPr>
      <w:r>
        <w:rPr>
          <w:rFonts w:ascii="Arial" w:cs="Arial" w:eastAsia="Arial" w:hAnsi="Arial"/>
          <w:b/>
          <w:bCs/>
          <w:color w:val="2E75B6"/>
          <w:sz w:val="30"/>
          <w:szCs w:val="30"/>
        </w:rPr>
        <w:t xml:space="preserve">AI-Powered Smart Grid Stability Prediction Using Machine Learning</w:t>
      </w:r>
    </w:p>
    <w:p>
      <w:pPr>
        <w:spacing w:after="60" w:before="0"/>
      </w:pPr>
      <w:r>
        <w:t xml:space="preserve"/>
      </w:r>
    </w:p>
    <w:p>
      <w:pPr>
        <w:spacing w:after="60" w:before="0"/>
      </w:pPr>
      <w:r>
        <w:t xml:space="preserve"/>
      </w:r>
    </w:p>
    <w:p>
      <w:pPr>
        <w:spacing w:after="60" w:before="0"/>
      </w:pPr>
      <w:r>
        <w:t xml:space="preserve"/>
      </w:r>
    </w:p>
    <w:p>
      <w:pPr>
        <w:spacing w:after="40" w:before="40"/>
        <w:jc w:val="center"/>
      </w:pPr>
      <w:r>
        <w:rPr>
          <w:rFonts w:ascii="Arial" w:cs="Arial" w:eastAsia="Arial" w:hAnsi="Arial"/>
          <w:b/>
          <w:bCs/>
          <w:color w:val="2E75B6"/>
          <w:sz w:val="26"/>
          <w:szCs w:val="26"/>
          <w:u w:val="single"/>
        </w:rPr>
        <w:t xml:space="preserve">Submitted by</w:t>
      </w:r>
    </w:p>
    <w:p>
      <w:pPr>
        <w:spacing w:after="40" w:before="40"/>
        <w:jc w:val="center"/>
      </w:pPr>
      <w:r>
        <w:rPr>
          <w:rFonts w:ascii="Arial" w:cs="Arial" w:eastAsia="Arial" w:hAnsi="Arial"/>
          <w:b/>
          <w:bCs/>
          <w:color w:val="1F4E79"/>
          <w:sz w:val="24"/>
          <w:szCs w:val="24"/>
        </w:rPr>
        <w:t xml:space="preserve">Student Name:  </w:t>
      </w:r>
      <w:r>
        <w:rPr>
          <w:rFonts w:ascii="Arial" w:cs="Arial" w:eastAsia="Arial" w:hAnsi="Arial"/>
          <w:color w:val="1A1A1A"/>
          <w:sz w:val="24"/>
          <w:szCs w:val="24"/>
        </w:rPr>
        <w:t xml:space="preserve">[Your Full Name]</w:t>
      </w:r>
    </w:p>
    <w:p>
      <w:pPr>
        <w:spacing w:after="40" w:before="40"/>
        <w:jc w:val="center"/>
      </w:pPr>
      <w:r>
        <w:rPr>
          <w:rFonts w:ascii="Arial" w:cs="Arial" w:eastAsia="Arial" w:hAnsi="Arial"/>
          <w:b/>
          <w:bCs/>
          <w:color w:val="1F4E79"/>
          <w:sz w:val="24"/>
          <w:szCs w:val="24"/>
        </w:rPr>
        <w:t xml:space="preserve">Roll Number:  </w:t>
      </w:r>
      <w:r>
        <w:rPr>
          <w:rFonts w:ascii="Arial" w:cs="Arial" w:eastAsia="Arial" w:hAnsi="Arial"/>
          <w:color w:val="1A1A1A"/>
          <w:sz w:val="24"/>
          <w:szCs w:val="24"/>
        </w:rPr>
        <w:t xml:space="preserve">[Your Roll Number]</w:t>
      </w:r>
    </w:p>
    <w:p>
      <w:pPr>
        <w:spacing w:after="40" w:before="40"/>
        <w:jc w:val="center"/>
      </w:pPr>
      <w:r>
        <w:rPr>
          <w:rFonts w:ascii="Arial" w:cs="Arial" w:eastAsia="Arial" w:hAnsi="Arial"/>
          <w:b/>
          <w:bCs/>
          <w:color w:val="1F4E79"/>
          <w:sz w:val="24"/>
          <w:szCs w:val="24"/>
        </w:rPr>
        <w:t xml:space="preserve">Branch:  </w:t>
      </w:r>
      <w:r>
        <w:rPr>
          <w:rFonts w:ascii="Arial" w:cs="Arial" w:eastAsia="Arial" w:hAnsi="Arial"/>
          <w:color w:val="1A1A1A"/>
          <w:sz w:val="24"/>
          <w:szCs w:val="24"/>
        </w:rPr>
        <w:t xml:space="preserve">B.Tech – Computer Science and Engineering</w:t>
      </w:r>
    </w:p>
    <w:p>
      <w:pPr>
        <w:spacing w:after="40" w:before="40"/>
        <w:jc w:val="center"/>
      </w:pPr>
      <w:r>
        <w:rPr>
          <w:rFonts w:ascii="Arial" w:cs="Arial" w:eastAsia="Arial" w:hAnsi="Arial"/>
          <w:b/>
          <w:bCs/>
          <w:color w:val="1F4E79"/>
          <w:sz w:val="24"/>
          <w:szCs w:val="24"/>
        </w:rPr>
        <w:t xml:space="preserve">Semester:  </w:t>
      </w:r>
      <w:r>
        <w:rPr>
          <w:rFonts w:ascii="Arial" w:cs="Arial" w:eastAsia="Arial" w:hAnsi="Arial"/>
          <w:color w:val="1A1A1A"/>
          <w:sz w:val="24"/>
          <w:szCs w:val="24"/>
        </w:rPr>
        <w:t xml:space="preserve">[Current Semester]</w:t>
      </w:r>
    </w:p>
    <w:p>
      <w:pPr>
        <w:spacing w:after="40" w:before="40"/>
        <w:jc w:val="center"/>
      </w:pPr>
      <w:r>
        <w:rPr>
          <w:rFonts w:ascii="Arial" w:cs="Arial" w:eastAsia="Arial" w:hAnsi="Arial"/>
          <w:b/>
          <w:bCs/>
          <w:color w:val="1F4E79"/>
          <w:sz w:val="24"/>
          <w:szCs w:val="24"/>
        </w:rPr>
        <w:t xml:space="preserve">Academic Year:  </w:t>
      </w:r>
      <w:r>
        <w:rPr>
          <w:rFonts w:ascii="Arial" w:cs="Arial" w:eastAsia="Arial" w:hAnsi="Arial"/>
          <w:color w:val="1A1A1A"/>
          <w:sz w:val="24"/>
          <w:szCs w:val="24"/>
        </w:rPr>
        <w:t xml:space="preserve">2024–2025</w:t>
      </w:r>
    </w:p>
    <w:p>
      <w:pPr>
        <w:spacing w:after="60" w:before="0"/>
      </w:pPr>
      <w:r>
        <w:t xml:space="preserve"/>
      </w:r>
    </w:p>
    <w:p>
      <w:pPr>
        <w:spacing w:after="60" w:before="0"/>
      </w:pPr>
      <w:r>
        <w:t xml:space="preserve"/>
      </w:r>
    </w:p>
    <w:p>
      <w:pPr>
        <w:spacing w:after="60" w:before="0"/>
      </w:pPr>
      <w:r>
        <w:t xml:space="preserve"/>
      </w:r>
    </w:p>
    <w:p>
      <w:pPr>
        <w:pBdr>
          <w:top w:val="single" w:color="2E75B6" w:sz="8" w:space="4"/>
        </w:pBdr>
        <w:spacing w:after="40" w:before="80"/>
        <w:jc w:val="center"/>
      </w:pPr>
      <w:r>
        <w:rPr>
          <w:rFonts w:ascii="Arial" w:cs="Arial" w:eastAsia="Arial" w:hAnsi="Arial"/>
          <w:b/>
          <w:bCs/>
          <w:color w:val="1F4E79"/>
          <w:sz w:val="24"/>
          <w:szCs w:val="24"/>
        </w:rPr>
        <w:t xml:space="preserve">[Name of College / University]</w:t>
      </w:r>
    </w:p>
    <w:p>
      <w:pPr>
        <w:spacing w:after="40" w:before="0"/>
        <w:jc w:val="center"/>
      </w:pPr>
      <w:r>
        <w:rPr>
          <w:rFonts w:ascii="Arial" w:cs="Arial" w:eastAsia="Arial" w:hAnsi="Arial"/>
          <w:color w:val="595959"/>
          <w:sz w:val="22"/>
          <w:szCs w:val="22"/>
        </w:rPr>
        <w:t xml:space="preserve">[Department of Computer Science and Engineering]</w:t>
      </w:r>
    </w:p>
    <w:p>
      <w:pPr>
        <w:spacing w:after="40" w:before="0"/>
        <w:jc w:val="center"/>
      </w:pPr>
      <w:r>
        <w:rPr>
          <w:rFonts w:ascii="Arial" w:cs="Arial" w:eastAsia="Arial" w:hAnsi="Arial"/>
          <w:color w:val="595959"/>
          <w:sz w:val="22"/>
          <w:szCs w:val="22"/>
        </w:rPr>
        <w:t xml:space="preserve">[City, State – PIN Code]</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1. Abstract</w:t>
      </w:r>
    </w:p>
    <w:p>
      <w:pPr>
        <w:spacing w:after="80" w:before="60" w:line="276"/>
        <w:jc w:val="both"/>
      </w:pPr>
      <w:r>
        <w:rPr>
          <w:rFonts w:ascii="Arial" w:cs="Arial" w:eastAsia="Arial" w:hAnsi="Arial"/>
          <w:color w:val="1A1A1A"/>
          <w:sz w:val="22"/>
          <w:szCs w:val="22"/>
        </w:rPr>
        <w:t xml:space="preserve">The increasing penetration of renewable energy sources and distributed generation technologies into modern power networks has created complex operational dynamics that challenge conventional grid management paradigms. Smart grids, which integrate bidirectional communication with electricity distribution, offer a promising solution but simultaneously introduce new stability concerns due to their inherently decentralised and non-linear behaviour.</w:t>
      </w:r>
    </w:p>
    <w:p>
      <w:pPr>
        <w:spacing w:after="80" w:before="60" w:line="276"/>
        <w:jc w:val="both"/>
      </w:pPr>
      <w:r>
        <w:rPr>
          <w:rFonts w:ascii="Arial" w:cs="Arial" w:eastAsia="Arial" w:hAnsi="Arial"/>
          <w:color w:val="1A1A1A"/>
          <w:sz w:val="22"/>
          <w:szCs w:val="22"/>
        </w:rPr>
        <w:t xml:space="preserve">This project presents SmartGrid Guardian, a machine learning-based predictive system designed to assess and forecast the stability of a smart grid in real time. The system leverages a benchmark four-node smart grid simulation dataset to train and evaluate multiple supervised classification algorithms, namely Logistic Regression, Decision Tree Classifier, Random Forest Classifier, and XGBoost. Each model is rigorously assessed using standard performance metrics including accuracy, precision, recall, F1-score, and the area under the receiver operating characteristic curve (AUC-ROC).</w:t>
      </w:r>
    </w:p>
    <w:p>
      <w:pPr>
        <w:spacing w:after="80" w:before="60" w:line="276"/>
        <w:jc w:val="both"/>
      </w:pPr>
      <w:r>
        <w:rPr>
          <w:rFonts w:ascii="Arial" w:cs="Arial" w:eastAsia="Arial" w:hAnsi="Arial"/>
          <w:color w:val="1A1A1A"/>
          <w:sz w:val="22"/>
          <w:szCs w:val="22"/>
        </w:rPr>
        <w:t xml:space="preserve">Experimental results indicate that XGBoost achieves the highest classification accuracy among all evaluated models and is therefore selected as the primary predictive model for deployment. The trained model is integrated into an interactive web-based dashboard developed using Streamlit, enabling domain practitioners and researchers to supply grid parameters, including participant response times (τ), nominal power generation and consumption values (p), and price elasticity coefficients (g), and receive an instantaneous stability prediction along with a risk classification.</w:t>
      </w:r>
    </w:p>
    <w:p>
      <w:pPr>
        <w:spacing w:after="80" w:before="60" w:line="276"/>
        <w:jc w:val="both"/>
      </w:pPr>
      <w:r>
        <w:rPr>
          <w:rFonts w:ascii="Arial" w:cs="Arial" w:eastAsia="Arial" w:hAnsi="Arial"/>
          <w:color w:val="1A1A1A"/>
          <w:sz w:val="22"/>
          <w:szCs w:val="22"/>
        </w:rPr>
        <w:t xml:space="preserve">The project contributes to the growing body of literature at the intersection of artificial intelligence and smart energy systems. It also aligns with United Nations Sustainable Development Goals 7, 9, and 11, pertaining to clean energy, infrastructure innovation, and sustainable urban communities, respectively. The proposed system demonstrates that machine learning can serve as a viable and computationally efficient tool for supporting proactive smart grid management.</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2. Introduction</w:t>
      </w:r>
    </w:p>
    <w:p>
      <w:pPr>
        <w:spacing w:after="80" w:before="60" w:line="276"/>
        <w:jc w:val="both"/>
      </w:pPr>
      <w:r>
        <w:rPr>
          <w:rFonts w:ascii="Arial" w:cs="Arial" w:eastAsia="Arial" w:hAnsi="Arial"/>
          <w:color w:val="1A1A1A"/>
          <w:sz w:val="22"/>
          <w:szCs w:val="22"/>
        </w:rPr>
        <w:t xml:space="preserve">The global energy landscape is undergoing a fundamental transformation driven by the rapid adoption of renewable energy technologies, the electrification of transportation, and evolving patterns of energy consumption. Traditional centralised power grids, which were designed for unidirectional power flows from large generating stations to passive consumers, are increasingly inadequate for managing the dynamic and distributed nature of modern energy networks.</w:t>
      </w:r>
    </w:p>
    <w:p>
      <w:pPr>
        <w:spacing w:after="80" w:before="60" w:line="276"/>
        <w:jc w:val="both"/>
      </w:pPr>
      <w:r>
        <w:rPr>
          <w:rFonts w:ascii="Arial" w:cs="Arial" w:eastAsia="Arial" w:hAnsi="Arial"/>
          <w:color w:val="1A1A1A"/>
          <w:sz w:val="22"/>
          <w:szCs w:val="22"/>
        </w:rPr>
        <w:t xml:space="preserve">Smart grids represent the next generation of electrical infrastructure, incorporating digital communication, automated control, and real-time data acquisition capabilities to achieve greater operational efficiency, reliability, and resilience. However, the integration of prosumers (participants who both produce and consume energy), stochastic renewable sources, and responsive demand-side management introduces significant complexity into grid stability analysis.</w:t>
      </w:r>
    </w:p>
    <w:p>
      <w:pPr>
        <w:spacing w:after="80" w:before="60" w:line="276"/>
        <w:jc w:val="both"/>
      </w:pPr>
      <w:r>
        <w:rPr>
          <w:rFonts w:ascii="Arial" w:cs="Arial" w:eastAsia="Arial" w:hAnsi="Arial"/>
          <w:color w:val="1A1A1A"/>
          <w:sz w:val="22"/>
          <w:szCs w:val="22"/>
        </w:rPr>
        <w:t xml:space="preserve">Grid stability, broadly defined as the ability of a power system to maintain synchronous operation following a disturbance, is a critical concern for grid operators. Instabilities can propagate rapidly, leading to equipment damage, localised outages, or cascading failures. Conventional analytical approaches based on physical modelling and differential equations, while theoretically rigorous, are computationally intensive and may not be suitable for real-time decision support in highly dynamic grid environments.</w:t>
      </w:r>
    </w:p>
    <w:p>
      <w:pPr>
        <w:spacing w:after="80" w:before="60" w:line="276"/>
        <w:jc w:val="both"/>
      </w:pPr>
      <w:r>
        <w:rPr>
          <w:rFonts w:ascii="Arial" w:cs="Arial" w:eastAsia="Arial" w:hAnsi="Arial"/>
          <w:color w:val="1A1A1A"/>
          <w:sz w:val="22"/>
          <w:szCs w:val="22"/>
        </w:rPr>
        <w:t xml:space="preserve">Machine learning (ML) offers a data-driven alternative, capable of capturing complex non-linear relationships between grid parameters without explicit physical modelling. By training on simulation-derived datasets that encompass a wide variety of operating conditions, ML models can learn the decision boundaries between stable and unstable grid states, enabling fast and accurate predictions at inference time.</w:t>
      </w:r>
    </w:p>
    <w:p>
      <w:pPr>
        <w:spacing w:after="80" w:before="60" w:line="276"/>
        <w:jc w:val="both"/>
      </w:pPr>
      <w:r>
        <w:rPr>
          <w:rFonts w:ascii="Arial" w:cs="Arial" w:eastAsia="Arial" w:hAnsi="Arial"/>
          <w:color w:val="1A1A1A"/>
          <w:sz w:val="22"/>
          <w:szCs w:val="22"/>
        </w:rPr>
        <w:t xml:space="preserve">This project, SmartGrid Guardian, operationalises this approach by developing, evaluating, and deploying a suite of ML classification models for smart grid stability prediction. The final system is presented through an accessible Streamlit dashboard, bridging the gap between research-grade modelling and practical usability.</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3. Problem Statement</w:t>
      </w:r>
    </w:p>
    <w:p>
      <w:pPr>
        <w:spacing w:after="80" w:before="60" w:line="276"/>
        <w:jc w:val="both"/>
      </w:pPr>
      <w:r>
        <w:rPr>
          <w:rFonts w:ascii="Arial" w:cs="Arial" w:eastAsia="Arial" w:hAnsi="Arial"/>
          <w:color w:val="1A1A1A"/>
          <w:sz w:val="22"/>
          <w:szCs w:val="22"/>
        </w:rPr>
        <w:t xml:space="preserve">Smart grids exhibit dynamic and non-linear operational behaviour arising from the interaction of distributed energy resources, heterogeneous consumers, and variable generation profiles. Predicting whether a given configuration of grid parameters will result in a stable or unstable operating state is a computationally challenging problem that conventional threshold-based or simulation-heavy methods address inadequately under time-constrained conditions.</w:t>
      </w:r>
    </w:p>
    <w:p>
      <w:pPr>
        <w:spacing w:after="80" w:before="60" w:line="276"/>
        <w:jc w:val="both"/>
      </w:pPr>
      <w:r>
        <w:rPr>
          <w:rFonts w:ascii="Arial" w:cs="Arial" w:eastAsia="Arial" w:hAnsi="Arial"/>
          <w:color w:val="1A1A1A"/>
          <w:sz w:val="22"/>
          <w:szCs w:val="22"/>
        </w:rPr>
        <w:t xml:space="preserve">Specifically, the key challenges addressed by this project are as follows:</w:t>
      </w:r>
    </w:p>
    <w:p>
      <w:pPr>
        <w:pStyle w:val="ListParagraph"/>
        <w:numPr>
          <w:ilvl w:val="0"/>
          <w:numId w:val="2"/>
        </w:numPr>
        <w:spacing w:after="40" w:before="40"/>
      </w:pPr>
      <w:r>
        <w:rPr>
          <w:rFonts w:ascii="Arial" w:cs="Arial" w:eastAsia="Arial" w:hAnsi="Arial"/>
          <w:color w:val="1A1A1A"/>
          <w:sz w:val="22"/>
          <w:szCs w:val="22"/>
        </w:rPr>
        <w:t xml:space="preserve">The absence of a fast, lightweight, and accurate predictive tool for classifying grid stability states based on operational parameters.</w:t>
      </w:r>
    </w:p>
    <w:p>
      <w:pPr>
        <w:pStyle w:val="ListParagraph"/>
        <w:numPr>
          <w:ilvl w:val="0"/>
          <w:numId w:val="2"/>
        </w:numPr>
        <w:spacing w:after="40" w:before="40"/>
      </w:pPr>
      <w:r>
        <w:rPr>
          <w:rFonts w:ascii="Arial" w:cs="Arial" w:eastAsia="Arial" w:hAnsi="Arial"/>
          <w:color w:val="1A1A1A"/>
          <w:sz w:val="22"/>
          <w:szCs w:val="22"/>
        </w:rPr>
        <w:t xml:space="preserve">The difficulty in comparing the relative predictive performance of multiple ML algorithms in the context of grid stability classification.</w:t>
      </w:r>
    </w:p>
    <w:p>
      <w:pPr>
        <w:pStyle w:val="ListParagraph"/>
        <w:numPr>
          <w:ilvl w:val="0"/>
          <w:numId w:val="2"/>
        </w:numPr>
        <w:spacing w:after="40" w:before="40"/>
      </w:pPr>
      <w:r>
        <w:rPr>
          <w:rFonts w:ascii="Arial" w:cs="Arial" w:eastAsia="Arial" w:hAnsi="Arial"/>
          <w:color w:val="1A1A1A"/>
          <w:sz w:val="22"/>
          <w:szCs w:val="22"/>
        </w:rPr>
        <w:t xml:space="preserve">The lack of an accessible interface through which non-specialist users can interact with a trained predictive model without requiring domain expertise in machine learning.</w:t>
      </w:r>
    </w:p>
    <w:p>
      <w:pPr>
        <w:spacing w:after="80" w:before="60" w:line="276"/>
        <w:jc w:val="both"/>
      </w:pPr>
      <w:r>
        <w:rPr>
          <w:rFonts w:ascii="Arial" w:cs="Arial" w:eastAsia="Arial" w:hAnsi="Arial"/>
          <w:color w:val="1A1A1A"/>
          <w:sz w:val="22"/>
          <w:szCs w:val="22"/>
        </w:rPr>
        <w:t xml:space="preserve">This project aims to address these challenges by constructing a comparative ML framework and deploying the best-performing model as an interactive prediction system.</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4. Objectives of the Project</w:t>
      </w:r>
    </w:p>
    <w:p>
      <w:pPr>
        <w:pStyle w:val="ListParagraph"/>
        <w:numPr>
          <w:ilvl w:val="0"/>
          <w:numId w:val="3"/>
        </w:numPr>
        <w:spacing w:after="40" w:before="40"/>
      </w:pPr>
      <w:r>
        <w:rPr>
          <w:rFonts w:ascii="Arial" w:cs="Arial" w:eastAsia="Arial" w:hAnsi="Arial"/>
          <w:color w:val="1A1A1A"/>
          <w:sz w:val="22"/>
          <w:szCs w:val="22"/>
        </w:rPr>
        <w:t xml:space="preserve">To conduct a systematic literature review on smart grid stability prediction and the application of machine learning in power systems.</w:t>
      </w:r>
    </w:p>
    <w:p>
      <w:pPr>
        <w:pStyle w:val="ListParagraph"/>
        <w:numPr>
          <w:ilvl w:val="0"/>
          <w:numId w:val="3"/>
        </w:numPr>
        <w:spacing w:after="40" w:before="40"/>
      </w:pPr>
      <w:r>
        <w:rPr>
          <w:rFonts w:ascii="Arial" w:cs="Arial" w:eastAsia="Arial" w:hAnsi="Arial"/>
          <w:color w:val="1A1A1A"/>
          <w:sz w:val="22"/>
          <w:szCs w:val="22"/>
        </w:rPr>
        <w:t xml:space="preserve">To preprocess and explore the Smart Grid Stability Dataset, including feature analysis, class balance assessment, and outlier examination.</w:t>
      </w:r>
    </w:p>
    <w:p>
      <w:pPr>
        <w:pStyle w:val="ListParagraph"/>
        <w:numPr>
          <w:ilvl w:val="0"/>
          <w:numId w:val="3"/>
        </w:numPr>
        <w:spacing w:after="40" w:before="40"/>
      </w:pPr>
      <w:r>
        <w:rPr>
          <w:rFonts w:ascii="Arial" w:cs="Arial" w:eastAsia="Arial" w:hAnsi="Arial"/>
          <w:color w:val="1A1A1A"/>
          <w:sz w:val="22"/>
          <w:szCs w:val="22"/>
        </w:rPr>
        <w:t xml:space="preserve">To implement and train four supervised classification models: Logistic Regression, Decision Tree, Random Forest, and XGBoost.</w:t>
      </w:r>
    </w:p>
    <w:p>
      <w:pPr>
        <w:pStyle w:val="ListParagraph"/>
        <w:numPr>
          <w:ilvl w:val="0"/>
          <w:numId w:val="3"/>
        </w:numPr>
        <w:spacing w:after="40" w:before="40"/>
      </w:pPr>
      <w:r>
        <w:rPr>
          <w:rFonts w:ascii="Arial" w:cs="Arial" w:eastAsia="Arial" w:hAnsi="Arial"/>
          <w:color w:val="1A1A1A"/>
          <w:sz w:val="22"/>
          <w:szCs w:val="22"/>
        </w:rPr>
        <w:t xml:space="preserve">To evaluate and compare model performance using accuracy, precision, recall, F1-score, and AUC-ROC metrics.</w:t>
      </w:r>
    </w:p>
    <w:p>
      <w:pPr>
        <w:pStyle w:val="ListParagraph"/>
        <w:numPr>
          <w:ilvl w:val="0"/>
          <w:numId w:val="3"/>
        </w:numPr>
        <w:spacing w:after="40" w:before="40"/>
      </w:pPr>
      <w:r>
        <w:rPr>
          <w:rFonts w:ascii="Arial" w:cs="Arial" w:eastAsia="Arial" w:hAnsi="Arial"/>
          <w:color w:val="1A1A1A"/>
          <w:sz w:val="22"/>
          <w:szCs w:val="22"/>
        </w:rPr>
        <w:t xml:space="preserve">To identify the optimal model and deploy it as an interactive Streamlit-based web dashboard for real-time stability prediction.</w:t>
      </w:r>
    </w:p>
    <w:p>
      <w:pPr>
        <w:pStyle w:val="ListParagraph"/>
        <w:numPr>
          <w:ilvl w:val="0"/>
          <w:numId w:val="3"/>
        </w:numPr>
        <w:spacing w:after="40" w:before="40"/>
      </w:pPr>
      <w:r>
        <w:rPr>
          <w:rFonts w:ascii="Arial" w:cs="Arial" w:eastAsia="Arial" w:hAnsi="Arial"/>
          <w:color w:val="1A1A1A"/>
          <w:sz w:val="22"/>
          <w:szCs w:val="22"/>
        </w:rPr>
        <w:t xml:space="preserve">To map the project outcomes to relevant United Nations Sustainable Development Goals (SDGs 7, 9, and 11).</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5. Scope of the Project</w:t>
      </w:r>
    </w:p>
    <w:p>
      <w:pPr>
        <w:spacing w:after="80" w:before="60" w:line="276"/>
        <w:jc w:val="both"/>
      </w:pPr>
      <w:r>
        <w:rPr>
          <w:rFonts w:ascii="Arial" w:cs="Arial" w:eastAsia="Arial" w:hAnsi="Arial"/>
          <w:color w:val="1A1A1A"/>
          <w:sz w:val="22"/>
          <w:szCs w:val="22"/>
        </w:rPr>
        <w:t xml:space="preserve">The scope of SmartGrid Guardian encompasses the following dimensions:</w:t>
      </w:r>
    </w:p>
    <w:p>
      <w:pPr>
        <w:pStyle w:val="Heading2"/>
        <w:spacing w:after="80" w:before="220"/>
      </w:pPr>
      <w:r>
        <w:rPr>
          <w:rFonts w:ascii="Arial" w:cs="Arial" w:eastAsia="Arial" w:hAnsi="Arial"/>
          <w:b/>
          <w:bCs/>
          <w:color w:val="2E75B6"/>
          <w:sz w:val="24"/>
          <w:szCs w:val="24"/>
        </w:rPr>
        <w:t xml:space="preserve">5.1 Technical Scope</w:t>
      </w:r>
    </w:p>
    <w:p>
      <w:pPr>
        <w:pStyle w:val="ListParagraph"/>
        <w:numPr>
          <w:ilvl w:val="0"/>
          <w:numId w:val="2"/>
        </w:numPr>
        <w:spacing w:after="40" w:before="40"/>
      </w:pPr>
      <w:r>
        <w:rPr>
          <w:rFonts w:ascii="Arial" w:cs="Arial" w:eastAsia="Arial" w:hAnsi="Arial"/>
          <w:color w:val="1A1A1A"/>
          <w:sz w:val="22"/>
          <w:szCs w:val="22"/>
        </w:rPr>
        <w:t xml:space="preserve">The project uses a benchmark simulation dataset representing a four-node smart grid topology. It does not use proprietary or live data from any power utility.</w:t>
      </w:r>
    </w:p>
    <w:p>
      <w:pPr>
        <w:pStyle w:val="ListParagraph"/>
        <w:numPr>
          <w:ilvl w:val="0"/>
          <w:numId w:val="2"/>
        </w:numPr>
        <w:spacing w:after="40" w:before="40"/>
      </w:pPr>
      <w:r>
        <w:rPr>
          <w:rFonts w:ascii="Arial" w:cs="Arial" w:eastAsia="Arial" w:hAnsi="Arial"/>
          <w:color w:val="1A1A1A"/>
          <w:sz w:val="22"/>
          <w:szCs w:val="22"/>
        </w:rPr>
        <w:t xml:space="preserve">The ML pipeline covers data ingestion, exploratory data analysis, preprocessing, model training, hyperparameter tuning, and performance evaluation.</w:t>
      </w:r>
    </w:p>
    <w:p>
      <w:pPr>
        <w:pStyle w:val="ListParagraph"/>
        <w:numPr>
          <w:ilvl w:val="0"/>
          <w:numId w:val="2"/>
        </w:numPr>
        <w:spacing w:after="40" w:before="40"/>
      </w:pPr>
      <w:r>
        <w:rPr>
          <w:rFonts w:ascii="Arial" w:cs="Arial" w:eastAsia="Arial" w:hAnsi="Arial"/>
          <w:color w:val="1A1A1A"/>
          <w:sz w:val="22"/>
          <w:szCs w:val="22"/>
        </w:rPr>
        <w:t xml:space="preserve">The deployed dashboard supports real-time inference based on user-specified grid parameters.</w:t>
      </w:r>
    </w:p>
    <w:p>
      <w:pPr>
        <w:pStyle w:val="Heading2"/>
        <w:spacing w:after="80" w:before="220"/>
      </w:pPr>
      <w:r>
        <w:rPr>
          <w:rFonts w:ascii="Arial" w:cs="Arial" w:eastAsia="Arial" w:hAnsi="Arial"/>
          <w:b/>
          <w:bCs/>
          <w:color w:val="2E75B6"/>
          <w:sz w:val="24"/>
          <w:szCs w:val="24"/>
        </w:rPr>
        <w:t xml:space="preserve">5.2 Application Scope</w:t>
      </w:r>
    </w:p>
    <w:p>
      <w:pPr>
        <w:pStyle w:val="ListParagraph"/>
        <w:numPr>
          <w:ilvl w:val="0"/>
          <w:numId w:val="2"/>
        </w:numPr>
        <w:spacing w:after="40" w:before="40"/>
      </w:pPr>
      <w:r>
        <w:rPr>
          <w:rFonts w:ascii="Arial" w:cs="Arial" w:eastAsia="Arial" w:hAnsi="Arial"/>
          <w:color w:val="1A1A1A"/>
          <w:sz w:val="22"/>
          <w:szCs w:val="22"/>
        </w:rPr>
        <w:t xml:space="preserve">The system is intended for academic demonstration, research prototyping, and educational purposes in the domain of smart energy systems.</w:t>
      </w:r>
    </w:p>
    <w:p>
      <w:pPr>
        <w:pStyle w:val="ListParagraph"/>
        <w:numPr>
          <w:ilvl w:val="0"/>
          <w:numId w:val="2"/>
        </w:numPr>
        <w:spacing w:after="40" w:before="40"/>
      </w:pPr>
      <w:r>
        <w:rPr>
          <w:rFonts w:ascii="Arial" w:cs="Arial" w:eastAsia="Arial" w:hAnsi="Arial"/>
          <w:color w:val="1A1A1A"/>
          <w:sz w:val="22"/>
          <w:szCs w:val="22"/>
        </w:rPr>
        <w:t xml:space="preserve">It can serve as a reference framework for further research in AI-assisted grid management.</w:t>
      </w:r>
    </w:p>
    <w:p>
      <w:pPr>
        <w:pStyle w:val="Heading2"/>
        <w:spacing w:after="80" w:before="220"/>
      </w:pPr>
      <w:r>
        <w:rPr>
          <w:rFonts w:ascii="Arial" w:cs="Arial" w:eastAsia="Arial" w:hAnsi="Arial"/>
          <w:b/>
          <w:bCs/>
          <w:color w:val="2E75B6"/>
          <w:sz w:val="24"/>
          <w:szCs w:val="24"/>
        </w:rPr>
        <w:t xml:space="preserve">5.3 Limitations</w:t>
      </w:r>
    </w:p>
    <w:p>
      <w:pPr>
        <w:pStyle w:val="ListParagraph"/>
        <w:numPr>
          <w:ilvl w:val="0"/>
          <w:numId w:val="2"/>
        </w:numPr>
        <w:spacing w:after="40" w:before="40"/>
      </w:pPr>
      <w:r>
        <w:rPr>
          <w:rFonts w:ascii="Arial" w:cs="Arial" w:eastAsia="Arial" w:hAnsi="Arial"/>
          <w:color w:val="1A1A1A"/>
          <w:sz w:val="22"/>
          <w:szCs w:val="22"/>
        </w:rPr>
        <w:t xml:space="preserve">The system is based on simulated data and its predictions should not be directly applied to operational power grid environments without further validation.</w:t>
      </w:r>
    </w:p>
    <w:p>
      <w:pPr>
        <w:pStyle w:val="ListParagraph"/>
        <w:numPr>
          <w:ilvl w:val="0"/>
          <w:numId w:val="2"/>
        </w:numPr>
        <w:spacing w:after="40" w:before="40"/>
      </w:pPr>
      <w:r>
        <w:rPr>
          <w:rFonts w:ascii="Arial" w:cs="Arial" w:eastAsia="Arial" w:hAnsi="Arial"/>
          <w:color w:val="1A1A1A"/>
          <w:sz w:val="22"/>
          <w:szCs w:val="22"/>
        </w:rPr>
        <w:t xml:space="preserve">The current implementation does not support time-series forecasting or real-time sensor data integration.</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6. Literature Review</w:t>
      </w:r>
    </w:p>
    <w:p>
      <w:pPr>
        <w:pStyle w:val="Heading2"/>
        <w:spacing w:after="80" w:before="220"/>
      </w:pPr>
      <w:r>
        <w:rPr>
          <w:rFonts w:ascii="Arial" w:cs="Arial" w:eastAsia="Arial" w:hAnsi="Arial"/>
          <w:b/>
          <w:bCs/>
          <w:color w:val="2E75B6"/>
          <w:sz w:val="24"/>
          <w:szCs w:val="24"/>
        </w:rPr>
        <w:t xml:space="preserve">6.1 Smart Grids</w:t>
      </w:r>
    </w:p>
    <w:p>
      <w:pPr>
        <w:spacing w:after="80" w:before="60" w:line="276"/>
        <w:jc w:val="both"/>
      </w:pPr>
      <w:r>
        <w:rPr>
          <w:rFonts w:ascii="Arial" w:cs="Arial" w:eastAsia="Arial" w:hAnsi="Arial"/>
          <w:color w:val="1A1A1A"/>
          <w:sz w:val="22"/>
          <w:szCs w:val="22"/>
        </w:rPr>
        <w:t xml:space="preserve">A smart grid is an electricity network that uses digital technologies to monitor and manage the transport of electricity from all generation sources to meet the varying electricity demands of end users. Fang et al. [1] provided a foundational survey of smart grid communications, identifying bidirectional data exchange as central to enabling demand-response mechanisms, fault detection, and real-time load balancing. Farhangi [2] further elaborated on the architectural evolution from traditional grids to intelligent networks, emphasising the role of advanced metering infrastructure and distributed control.</w:t>
      </w:r>
    </w:p>
    <w:p>
      <w:pPr>
        <w:pStyle w:val="Heading2"/>
        <w:spacing w:after="80" w:before="220"/>
      </w:pPr>
      <w:r>
        <w:rPr>
          <w:rFonts w:ascii="Arial" w:cs="Arial" w:eastAsia="Arial" w:hAnsi="Arial"/>
          <w:b/>
          <w:bCs/>
          <w:color w:val="2E75B6"/>
          <w:sz w:val="24"/>
          <w:szCs w:val="24"/>
        </w:rPr>
        <w:t xml:space="preserve">6.2 Grid Stability Prediction</w:t>
      </w:r>
    </w:p>
    <w:p>
      <w:pPr>
        <w:spacing w:after="80" w:before="60" w:line="276"/>
        <w:jc w:val="both"/>
      </w:pPr>
      <w:r>
        <w:rPr>
          <w:rFonts w:ascii="Arial" w:cs="Arial" w:eastAsia="Arial" w:hAnsi="Arial"/>
          <w:color w:val="1A1A1A"/>
          <w:sz w:val="22"/>
          <w:szCs w:val="22"/>
        </w:rPr>
        <w:t xml:space="preserve">The stability of a smart grid is governed by the balance between power generation and consumption across all nodes. Analytical stability criteria, such as Lyapunov stability theory, have been adapted for decentralised smart grid models. Thaseen and Kumar [3] demonstrated that the augmented Lyapunov-based smart grid stability dataset provides a reliable benchmark for evaluating data-driven stability classifiers. Arzamasov et al. [4] investigated the predictability of grid stability from the same dataset and highlighted the role of consumer response time and pricing elasticity as critical stability indicators.</w:t>
      </w:r>
    </w:p>
    <w:p>
      <w:pPr>
        <w:pStyle w:val="Heading2"/>
        <w:spacing w:after="80" w:before="220"/>
      </w:pPr>
      <w:r>
        <w:rPr>
          <w:rFonts w:ascii="Arial" w:cs="Arial" w:eastAsia="Arial" w:hAnsi="Arial"/>
          <w:b/>
          <w:bCs/>
          <w:color w:val="2E75B6"/>
          <w:sz w:val="24"/>
          <w:szCs w:val="24"/>
        </w:rPr>
        <w:t xml:space="preserve">6.3 Machine Learning Applications in Power Systems</w:t>
      </w:r>
    </w:p>
    <w:p>
      <w:pPr>
        <w:spacing w:after="80" w:before="60" w:line="276"/>
        <w:jc w:val="both"/>
      </w:pPr>
      <w:r>
        <w:rPr>
          <w:rFonts w:ascii="Arial" w:cs="Arial" w:eastAsia="Arial" w:hAnsi="Arial"/>
          <w:color w:val="1A1A1A"/>
          <w:sz w:val="22"/>
          <w:szCs w:val="22"/>
        </w:rPr>
        <w:t xml:space="preserve">Machine learning has been extensively applied to power system analysis including fault detection, load forecasting, and stability assessment. Yan et al. [5] reviewed deep learning applications in smart grid security and demonstrated the superiority of ensemble methods for classification tasks under imbalanced data conditions. Salam and Khan [6] applied gradient boosting classifiers, including XGBoost, to power system contingency analysis and reported substantial improvements over linear and single-tree models. Fahim and Sillitti [7] proposed a feature-extraction framework for smart grid stability prediction, confirming that ensemble learners generalise well across varying operating scenarios. Ahmad et al. [8] evaluated several ML algorithms on energy prediction tasks and concluded that tree-based ensembles consistently outperform linear models in non-linear energy system contexts.</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7. Proposed Methodology</w:t>
      </w:r>
    </w:p>
    <w:p>
      <w:pPr>
        <w:pStyle w:val="Heading2"/>
        <w:spacing w:after="80" w:before="220"/>
      </w:pPr>
      <w:r>
        <w:rPr>
          <w:rFonts w:ascii="Arial" w:cs="Arial" w:eastAsia="Arial" w:hAnsi="Arial"/>
          <w:b/>
          <w:bCs/>
          <w:color w:val="2E75B6"/>
          <w:sz w:val="24"/>
          <w:szCs w:val="24"/>
        </w:rPr>
        <w:t xml:space="preserve">7.1 Dataset Description</w:t>
      </w:r>
    </w:p>
    <w:p>
      <w:pPr>
        <w:spacing w:after="80" w:before="60" w:line="276"/>
        <w:jc w:val="both"/>
      </w:pPr>
      <w:r>
        <w:rPr>
          <w:rFonts w:ascii="Arial" w:cs="Arial" w:eastAsia="Arial" w:hAnsi="Arial"/>
          <w:color w:val="1A1A1A"/>
          <w:sz w:val="22"/>
          <w:szCs w:val="22"/>
        </w:rPr>
        <w:t xml:space="preserve">The project utilises the Smart Grid Stability Dataset, a publicly available benchmark dataset derived from a simulation of a four-node grid network comprising one energy producer and three consumers. The dataset contains 10,000 instances with 12 input features and one binary target variable (stable / unstable). The input features include:</w:t>
      </w:r>
    </w:p>
    <w:p>
      <w:pPr>
        <w:pStyle w:val="ListParagraph"/>
        <w:numPr>
          <w:ilvl w:val="0"/>
          <w:numId w:val="2"/>
        </w:numPr>
        <w:spacing w:after="40" w:before="40"/>
      </w:pPr>
      <w:r>
        <w:rPr>
          <w:rFonts w:ascii="Arial" w:cs="Arial" w:eastAsia="Arial" w:hAnsi="Arial"/>
          <w:color w:val="1A1A1A"/>
          <w:sz w:val="22"/>
          <w:szCs w:val="22"/>
        </w:rPr>
        <w:t xml:space="preserve">τ1 – τ4: Response times (in seconds) for each grid participant.</w:t>
      </w:r>
    </w:p>
    <w:p>
      <w:pPr>
        <w:pStyle w:val="ListParagraph"/>
        <w:numPr>
          <w:ilvl w:val="0"/>
          <w:numId w:val="2"/>
        </w:numPr>
        <w:spacing w:after="40" w:before="40"/>
      </w:pPr>
      <w:r>
        <w:rPr>
          <w:rFonts w:ascii="Arial" w:cs="Arial" w:eastAsia="Arial" w:hAnsi="Arial"/>
          <w:color w:val="1A1A1A"/>
          <w:sz w:val="22"/>
          <w:szCs w:val="22"/>
        </w:rPr>
        <w:t xml:space="preserve">p1 – p4: Nominal power generated or consumed by each participant (p1 is treated as the reference producer; p2–p4 are consumers).</w:t>
      </w:r>
    </w:p>
    <w:p>
      <w:pPr>
        <w:pStyle w:val="ListParagraph"/>
        <w:numPr>
          <w:ilvl w:val="0"/>
          <w:numId w:val="2"/>
        </w:numPr>
        <w:spacing w:after="40" w:before="40"/>
      </w:pPr>
      <w:r>
        <w:rPr>
          <w:rFonts w:ascii="Arial" w:cs="Arial" w:eastAsia="Arial" w:hAnsi="Arial"/>
          <w:color w:val="1A1A1A"/>
          <w:sz w:val="22"/>
          <w:szCs w:val="22"/>
        </w:rPr>
        <w:t xml:space="preserve">g1 – g4: Price elasticity coefficients describing each participant's sensitivity to energy price signals.</w:t>
      </w:r>
    </w:p>
    <w:p>
      <w:pPr>
        <w:spacing w:after="80" w:before="60" w:line="276"/>
        <w:jc w:val="both"/>
      </w:pPr>
      <w:r>
        <w:rPr>
          <w:rFonts w:ascii="Arial" w:cs="Arial" w:eastAsia="Arial" w:hAnsi="Arial"/>
          <w:color w:val="1A1A1A"/>
          <w:sz w:val="22"/>
          <w:szCs w:val="22"/>
        </w:rPr>
        <w:t xml:space="preserve">The target variable 'stabf' is a categorical label denoting grid stability status.</w:t>
      </w:r>
    </w:p>
    <w:p>
      <w:pPr>
        <w:pStyle w:val="Heading2"/>
        <w:spacing w:after="80" w:before="220"/>
      </w:pPr>
      <w:r>
        <w:rPr>
          <w:rFonts w:ascii="Arial" w:cs="Arial" w:eastAsia="Arial" w:hAnsi="Arial"/>
          <w:b/>
          <w:bCs/>
          <w:color w:val="2E75B6"/>
          <w:sz w:val="24"/>
          <w:szCs w:val="24"/>
        </w:rPr>
        <w:t xml:space="preserve">7.2 Data Preprocessing</w:t>
      </w:r>
    </w:p>
    <w:p>
      <w:pPr>
        <w:pStyle w:val="ListParagraph"/>
        <w:numPr>
          <w:ilvl w:val="0"/>
          <w:numId w:val="2"/>
        </w:numPr>
        <w:spacing w:after="40" w:before="40"/>
      </w:pPr>
      <w:r>
        <w:rPr>
          <w:rFonts w:ascii="Arial" w:cs="Arial" w:eastAsia="Arial" w:hAnsi="Arial"/>
          <w:color w:val="1A1A1A"/>
          <w:sz w:val="22"/>
          <w:szCs w:val="22"/>
        </w:rPr>
        <w:t xml:space="preserve">Redundant or duplicate records are removed.</w:t>
      </w:r>
    </w:p>
    <w:p>
      <w:pPr>
        <w:pStyle w:val="ListParagraph"/>
        <w:numPr>
          <w:ilvl w:val="0"/>
          <w:numId w:val="2"/>
        </w:numPr>
        <w:spacing w:after="40" w:before="40"/>
      </w:pPr>
      <w:r>
        <w:rPr>
          <w:rFonts w:ascii="Arial" w:cs="Arial" w:eastAsia="Arial" w:hAnsi="Arial"/>
          <w:color w:val="1A1A1A"/>
          <w:sz w:val="22"/>
          <w:szCs w:val="22"/>
        </w:rPr>
        <w:t xml:space="preserve">Feature scaling is applied using StandardScaler to normalise continuous input features.</w:t>
      </w:r>
    </w:p>
    <w:p>
      <w:pPr>
        <w:pStyle w:val="ListParagraph"/>
        <w:numPr>
          <w:ilvl w:val="0"/>
          <w:numId w:val="2"/>
        </w:numPr>
        <w:spacing w:after="40" w:before="40"/>
      </w:pPr>
      <w:r>
        <w:rPr>
          <w:rFonts w:ascii="Arial" w:cs="Arial" w:eastAsia="Arial" w:hAnsi="Arial"/>
          <w:color w:val="1A1A1A"/>
          <w:sz w:val="22"/>
          <w:szCs w:val="22"/>
        </w:rPr>
        <w:t xml:space="preserve">The continuous stability score ('stab') is dropped; only the binary label ('stabf') is used as the target.</w:t>
      </w:r>
    </w:p>
    <w:p>
      <w:pPr>
        <w:pStyle w:val="ListParagraph"/>
        <w:numPr>
          <w:ilvl w:val="0"/>
          <w:numId w:val="2"/>
        </w:numPr>
        <w:spacing w:after="40" w:before="40"/>
      </w:pPr>
      <w:r>
        <w:rPr>
          <w:rFonts w:ascii="Arial" w:cs="Arial" w:eastAsia="Arial" w:hAnsi="Arial"/>
          <w:color w:val="1A1A1A"/>
          <w:sz w:val="22"/>
          <w:szCs w:val="22"/>
        </w:rPr>
        <w:t xml:space="preserve">Class distribution is examined to assess the need for resampling strategies.</w:t>
      </w:r>
    </w:p>
    <w:p>
      <w:pPr>
        <w:pStyle w:val="ListParagraph"/>
        <w:numPr>
          <w:ilvl w:val="0"/>
          <w:numId w:val="2"/>
        </w:numPr>
        <w:spacing w:after="40" w:before="40"/>
      </w:pPr>
      <w:r>
        <w:rPr>
          <w:rFonts w:ascii="Arial" w:cs="Arial" w:eastAsia="Arial" w:hAnsi="Arial"/>
          <w:color w:val="1A1A1A"/>
          <w:sz w:val="22"/>
          <w:szCs w:val="22"/>
        </w:rPr>
        <w:t xml:space="preserve">The dataset is split into training (80%) and testing (20%) subsets using stratified sampling to preserve class proportions.</w:t>
      </w:r>
    </w:p>
    <w:p>
      <w:pPr>
        <w:pStyle w:val="Heading2"/>
        <w:spacing w:after="80" w:before="220"/>
      </w:pPr>
      <w:r>
        <w:rPr>
          <w:rFonts w:ascii="Arial" w:cs="Arial" w:eastAsia="Arial" w:hAnsi="Arial"/>
          <w:b/>
          <w:bCs/>
          <w:color w:val="2E75B6"/>
          <w:sz w:val="24"/>
          <w:szCs w:val="24"/>
        </w:rPr>
        <w:t xml:space="preserve">7.3 Model Training</w:t>
      </w:r>
    </w:p>
    <w:p>
      <w:pPr>
        <w:spacing w:after="80" w:before="60" w:line="276"/>
        <w:jc w:val="both"/>
      </w:pPr>
      <w:r>
        <w:rPr>
          <w:rFonts w:ascii="Arial" w:cs="Arial" w:eastAsia="Arial" w:hAnsi="Arial"/>
          <w:color w:val="1A1A1A"/>
          <w:sz w:val="22"/>
          <w:szCs w:val="22"/>
        </w:rPr>
        <w:t xml:space="preserve">Four supervised classification algorithms are implemented and trained:</w:t>
      </w:r>
    </w:p>
    <w:p>
      <w:pPr>
        <w:pStyle w:val="ListParagraph"/>
        <w:numPr>
          <w:ilvl w:val="0"/>
          <w:numId w:val="2"/>
        </w:numPr>
        <w:spacing w:after="40" w:before="40"/>
      </w:pPr>
      <w:r>
        <w:rPr>
          <w:rFonts w:ascii="Arial" w:cs="Arial" w:eastAsia="Arial" w:hAnsi="Arial"/>
          <w:color w:val="1A1A1A"/>
          <w:sz w:val="22"/>
          <w:szCs w:val="22"/>
        </w:rPr>
        <w:t xml:space="preserve">Logistic Regression: A linear baseline model providing interpretable coefficient-based predictions.</w:t>
      </w:r>
    </w:p>
    <w:p>
      <w:pPr>
        <w:pStyle w:val="ListParagraph"/>
        <w:numPr>
          <w:ilvl w:val="0"/>
          <w:numId w:val="2"/>
        </w:numPr>
        <w:spacing w:after="40" w:before="40"/>
      </w:pPr>
      <w:r>
        <w:rPr>
          <w:rFonts w:ascii="Arial" w:cs="Arial" w:eastAsia="Arial" w:hAnsi="Arial"/>
          <w:color w:val="1A1A1A"/>
          <w:sz w:val="22"/>
          <w:szCs w:val="22"/>
        </w:rPr>
        <w:t xml:space="preserve">Decision Tree Classifier: A non-linear model employing recursive binary partitioning of the feature space.</w:t>
      </w:r>
    </w:p>
    <w:p>
      <w:pPr>
        <w:pStyle w:val="ListParagraph"/>
        <w:numPr>
          <w:ilvl w:val="0"/>
          <w:numId w:val="2"/>
        </w:numPr>
        <w:spacing w:after="40" w:before="40"/>
      </w:pPr>
      <w:r>
        <w:rPr>
          <w:rFonts w:ascii="Arial" w:cs="Arial" w:eastAsia="Arial" w:hAnsi="Arial"/>
          <w:color w:val="1A1A1A"/>
          <w:sz w:val="22"/>
          <w:szCs w:val="22"/>
        </w:rPr>
        <w:t xml:space="preserve">Random Forest Classifier: An ensemble of decision trees using bagging to reduce variance and improve generalisation.</w:t>
      </w:r>
    </w:p>
    <w:p>
      <w:pPr>
        <w:pStyle w:val="ListParagraph"/>
        <w:numPr>
          <w:ilvl w:val="0"/>
          <w:numId w:val="2"/>
        </w:numPr>
        <w:spacing w:after="40" w:before="40"/>
      </w:pPr>
      <w:r>
        <w:rPr>
          <w:rFonts w:ascii="Arial" w:cs="Arial" w:eastAsia="Arial" w:hAnsi="Arial"/>
          <w:color w:val="1A1A1A"/>
          <w:sz w:val="22"/>
          <w:szCs w:val="22"/>
        </w:rPr>
        <w:t xml:space="preserve">XGBoost Classifier: A gradient-boosted ensemble model that iteratively corrects prediction errors; known for high accuracy on tabular datasets.</w:t>
      </w:r>
    </w:p>
    <w:p>
      <w:pPr>
        <w:pStyle w:val="Heading2"/>
        <w:spacing w:after="80" w:before="220"/>
      </w:pPr>
      <w:r>
        <w:rPr>
          <w:rFonts w:ascii="Arial" w:cs="Arial" w:eastAsia="Arial" w:hAnsi="Arial"/>
          <w:b/>
          <w:bCs/>
          <w:color w:val="2E75B6"/>
          <w:sz w:val="24"/>
          <w:szCs w:val="24"/>
        </w:rPr>
        <w:t xml:space="preserve">7.4 Model Comparison</w:t>
      </w:r>
    </w:p>
    <w:p>
      <w:pPr>
        <w:spacing w:after="80" w:before="60" w:line="276"/>
        <w:jc w:val="both"/>
      </w:pPr>
      <w:r>
        <w:rPr>
          <w:rFonts w:ascii="Arial" w:cs="Arial" w:eastAsia="Arial" w:hAnsi="Arial"/>
          <w:color w:val="1A1A1A"/>
          <w:sz w:val="22"/>
          <w:szCs w:val="22"/>
        </w:rPr>
        <w:t xml:space="preserve">All models are evaluated on the held-out test set using the following metrics: Classification Accuracy, Precision and Recall (per class), F1-Score (macro and weighted), and AUC-ROC. A comparative summary table and visualisations (confusion matrices, ROC curves) are generated. XGBoost is identified as the best-performing model and is persisted using Python's joblib serialisation library for deployment.</w:t>
      </w:r>
    </w:p>
    <w:p>
      <w:pPr>
        <w:pStyle w:val="Heading2"/>
        <w:spacing w:after="80" w:before="220"/>
      </w:pPr>
      <w:r>
        <w:rPr>
          <w:rFonts w:ascii="Arial" w:cs="Arial" w:eastAsia="Arial" w:hAnsi="Arial"/>
          <w:b/>
          <w:bCs/>
          <w:color w:val="2E75B6"/>
          <w:sz w:val="24"/>
          <w:szCs w:val="24"/>
        </w:rPr>
        <w:t xml:space="preserve">7.5 Dashboard Development</w:t>
      </w:r>
    </w:p>
    <w:p>
      <w:pPr>
        <w:spacing w:after="80" w:before="60" w:line="276"/>
        <w:jc w:val="both"/>
      </w:pPr>
      <w:r>
        <w:rPr>
          <w:rFonts w:ascii="Arial" w:cs="Arial" w:eastAsia="Arial" w:hAnsi="Arial"/>
          <w:color w:val="1A1A1A"/>
          <w:sz w:val="22"/>
          <w:szCs w:val="22"/>
        </w:rPr>
        <w:t xml:space="preserve">The deployment interface is built using Streamlit. The dashboard allows users to enter the 12 grid parameters via numerical input fields, invokes the serialised XGBoost model, and returns the predicted stability class along with a contextual risk message. The interface is designed to be intuitive and accessible to non-specialist users.</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8. System Architecture</w:t>
      </w:r>
    </w:p>
    <w:p>
      <w:pPr>
        <w:spacing w:after="80" w:before="60" w:line="276"/>
        <w:jc w:val="both"/>
      </w:pPr>
      <w:r>
        <w:rPr>
          <w:rFonts w:ascii="Arial" w:cs="Arial" w:eastAsia="Arial" w:hAnsi="Arial"/>
          <w:color w:val="1A1A1A"/>
          <w:sz w:val="22"/>
          <w:szCs w:val="22"/>
        </w:rPr>
        <w:t xml:space="preserve">The end-to-end system workflow is described as follows:</w:t>
      </w:r>
    </w:p>
    <w:p>
      <w:pPr>
        <w:pStyle w:val="ListParagraph"/>
        <w:numPr>
          <w:ilvl w:val="0"/>
          <w:numId w:val="3"/>
        </w:numPr>
        <w:spacing w:after="40" w:before="40"/>
      </w:pPr>
      <w:r>
        <w:rPr>
          <w:rFonts w:ascii="Arial" w:cs="Arial" w:eastAsia="Arial" w:hAnsi="Arial"/>
          <w:color w:val="1A1A1A"/>
          <w:sz w:val="22"/>
          <w:szCs w:val="22"/>
        </w:rPr>
        <w:t xml:space="preserve">Input Layer: The user provides 12 grid parameters (τ, p, and g values for four participants) through the Streamlit web interface.</w:t>
      </w:r>
    </w:p>
    <w:p>
      <w:pPr>
        <w:pStyle w:val="ListParagraph"/>
        <w:numPr>
          <w:ilvl w:val="0"/>
          <w:numId w:val="3"/>
        </w:numPr>
        <w:spacing w:after="40" w:before="40"/>
      </w:pPr>
      <w:r>
        <w:rPr>
          <w:rFonts w:ascii="Arial" w:cs="Arial" w:eastAsia="Arial" w:hAnsi="Arial"/>
          <w:color w:val="1A1A1A"/>
          <w:sz w:val="22"/>
          <w:szCs w:val="22"/>
        </w:rPr>
        <w:t xml:space="preserve">Preprocessing Module: Input values are validated and transformed using the pre-fitted StandardScaler to ensure compatibility with the trained model.</w:t>
      </w:r>
    </w:p>
    <w:p>
      <w:pPr>
        <w:pStyle w:val="ListParagraph"/>
        <w:numPr>
          <w:ilvl w:val="0"/>
          <w:numId w:val="3"/>
        </w:numPr>
        <w:spacing w:after="40" w:before="40"/>
      </w:pPr>
      <w:r>
        <w:rPr>
          <w:rFonts w:ascii="Arial" w:cs="Arial" w:eastAsia="Arial" w:hAnsi="Arial"/>
          <w:color w:val="1A1A1A"/>
          <w:sz w:val="22"/>
          <w:szCs w:val="22"/>
        </w:rPr>
        <w:t xml:space="preserve">Inference Engine: The serialised XGBoost model loaded at runtime processes the scaled feature vector and produces a binary classification output.</w:t>
      </w:r>
    </w:p>
    <w:p>
      <w:pPr>
        <w:pStyle w:val="ListParagraph"/>
        <w:numPr>
          <w:ilvl w:val="0"/>
          <w:numId w:val="3"/>
        </w:numPr>
        <w:spacing w:after="40" w:before="40"/>
      </w:pPr>
      <w:r>
        <w:rPr>
          <w:rFonts w:ascii="Arial" w:cs="Arial" w:eastAsia="Arial" w:hAnsi="Arial"/>
          <w:color w:val="1A1A1A"/>
          <w:sz w:val="22"/>
          <w:szCs w:val="22"/>
        </w:rPr>
        <w:t xml:space="preserve">Output Layer: The predicted class (stable / unstable) is displayed to the user, accompanied by a risk assessment message indicating the severity of the predicted condition.</w:t>
      </w:r>
    </w:p>
    <w:p>
      <w:pPr>
        <w:pStyle w:val="ListParagraph"/>
        <w:numPr>
          <w:ilvl w:val="0"/>
          <w:numId w:val="3"/>
        </w:numPr>
        <w:spacing w:after="40" w:before="40"/>
      </w:pPr>
      <w:r>
        <w:rPr>
          <w:rFonts w:ascii="Arial" w:cs="Arial" w:eastAsia="Arial" w:hAnsi="Arial"/>
          <w:color w:val="1A1A1A"/>
          <w:sz w:val="22"/>
          <w:szCs w:val="22"/>
        </w:rPr>
        <w:t xml:space="preserve">Model Backend: The XGBoost model is trained offline from the benchmark dataset, evaluated against held-out data, and stored as a serialised artifact (.pkl file) for deployment.</w:t>
      </w:r>
    </w:p>
    <w:p>
      <w:pPr>
        <w:spacing w:after="80" w:before="60" w:line="276"/>
        <w:jc w:val="both"/>
      </w:pPr>
      <w:r>
        <w:rPr>
          <w:rFonts w:ascii="Arial" w:cs="Arial" w:eastAsia="Arial" w:hAnsi="Arial"/>
          <w:color w:val="1A1A1A"/>
          <w:sz w:val="22"/>
          <w:szCs w:val="22"/>
        </w:rPr>
        <w:t xml:space="preserve">The architectural flow can be summarised as: Raw User Input → Input Validation → Feature Scaling → XGBoost Inference → Stability Classification → Dashboard Display.</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9. SDG Mapping</w:t>
      </w:r>
    </w:p>
    <w:p>
      <w:pPr>
        <w:spacing w:after="80" w:before="60" w:line="276"/>
        <w:jc w:val="both"/>
      </w:pPr>
      <w:r>
        <w:rPr>
          <w:rFonts w:ascii="Arial" w:cs="Arial" w:eastAsia="Arial" w:hAnsi="Arial"/>
          <w:color w:val="1A1A1A"/>
          <w:sz w:val="22"/>
          <w:szCs w:val="22"/>
        </w:rPr>
        <w:t xml:space="preserve">The SmartGrid Guardian project aligns with the following United Nations Sustainable Development Goals: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SDG Goal</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SDG Number</w:t>
            </w:r>
          </w:p>
        </w:tc>
        <w:tc>
          <w:tcPr>
            <w:tcW w:type="dxa" w:w="4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SmartGrid Guardian</w:t>
            </w:r>
          </w:p>
        </w:tc>
      </w:tr>
      <w:tr>
        <w:tc>
          <w:tcPr>
            <w:tcW w:type="dxa" w:w="240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Affordable and Clean Energy</w:t>
            </w:r>
          </w:p>
        </w:tc>
        <w:tc>
          <w:tcPr>
            <w:tcW w:type="dxa" w:w="240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SDG 7</w:t>
            </w:r>
          </w:p>
        </w:tc>
        <w:tc>
          <w:tcPr>
            <w:tcW w:type="dxa" w:w="456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Optimizing grid stability contributes to efficient and reliable delivery of clean energy.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Industry, Innovation and Infrastructure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SDG 9</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ML-powered architecture demonstrates innovation in critical energy infrastructure.</w:t>
            </w:r>
          </w:p>
        </w:tc>
      </w:tr>
      <w:tr>
        <w:tc>
          <w:tcPr>
            <w:tcW w:type="dxa" w:w="240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Sustainable Cities and Communities</w:t>
            </w:r>
          </w:p>
        </w:tc>
        <w:tc>
          <w:tcPr>
            <w:tcW w:type="dxa" w:w="240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SDG 11</w:t>
            </w:r>
          </w:p>
        </w:tc>
        <w:tc>
          <w:tcPr>
            <w:tcW w:type="dxa" w:w="456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Stable, predictable smart grids underpin resilient urban energy systems.</w:t>
            </w:r>
          </w:p>
        </w:tc>
      </w:tr>
    </w:tbl>
    <w:p>
      <w:pPr>
        <w:spacing w:after="60" w:before="0"/>
      </w:pPr>
      <w:r>
        <w:t xml:space="preserve"/>
      </w:r>
    </w:p>
    <w:p>
      <w:pPr>
        <w:spacing w:after="80" w:before="60" w:line="276"/>
        <w:jc w:val="both"/>
      </w:pPr>
      <w:r>
        <w:rPr>
          <w:rFonts w:ascii="Arial" w:cs="Arial" w:eastAsia="Arial" w:hAnsi="Arial"/>
          <w:color w:val="1A1A1A"/>
          <w:sz w:val="22"/>
          <w:szCs w:val="22"/>
        </w:rPr>
        <w:t xml:space="preserve">By predicting and preventing grid instabilities, SmartGrid Guardian supports the reliable and efficient delivery of clean energy (SDG 7), advances the application of innovative technologies within energy infrastructure (SDG 9), and contributes to the resilience of urban communities dependent on stable power supplies (SDG 11).</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10. Tools and Technologies Used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 / Technologies</w:t>
            </w:r>
          </w:p>
        </w:tc>
      </w:tr>
      <w:tr>
        <w:tc>
          <w:tcPr>
            <w:tcW w:type="dxa" w:w="312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Programming Language</w:t>
            </w:r>
          </w:p>
        </w:tc>
        <w:tc>
          <w:tcPr>
            <w:tcW w:type="dxa" w:w="624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Python 3.x</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Libraries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Scikit-learn, XGBoost, Pandas, NumPy</w:t>
            </w:r>
          </w:p>
        </w:tc>
      </w:tr>
      <w:tr>
        <w:tc>
          <w:tcPr>
            <w:tcW w:type="dxa" w:w="312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Visualization</w:t>
            </w:r>
          </w:p>
        </w:tc>
        <w:tc>
          <w:tcPr>
            <w:tcW w:type="dxa" w:w="624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Matplotlib, Seaborn</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 Deployment</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w:t>
            </w:r>
          </w:p>
        </w:tc>
      </w:tr>
      <w:tr>
        <w:tc>
          <w:tcPr>
            <w:tcW w:type="dxa" w:w="312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Development Environment</w:t>
            </w:r>
          </w:p>
        </w:tc>
        <w:tc>
          <w:tcPr>
            <w:tcW w:type="dxa" w:w="624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Jupyter Notebook, VS Code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Dataset</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Grid Stability Dataset (UCI / Kaggle benchmark)</w:t>
            </w:r>
          </w:p>
        </w:tc>
      </w:tr>
      <w:tr>
        <w:tc>
          <w:tcPr>
            <w:tcW w:type="dxa" w:w="312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6240"/>
            <w:tcBorders>
              <w:top w:val="single" w:color="BDD7EE" w:sz="1"/>
              <w:left w:val="single" w:color="BDD7EE" w:sz="1"/>
              <w:bottom w:val="single" w:color="BDD7EE" w:sz="1"/>
              <w:right w:val="single" w:color="BDD7EE" w:sz="1"/>
            </w:tcBorders>
            <w:shd w:fill="EDF4FB" w:val="clear"/>
            <w:tcMar>
              <w:top w:type="dxa" w:w="80"/>
              <w:left w:type="dxa" w:w="120"/>
              <w:bottom w:type="dxa" w:w="80"/>
              <w:right w:type="dxa" w:w="120"/>
            </w:tcMar>
          </w:tcPr>
          <w:p>
            <w:r>
              <w:rPr>
                <w:rFonts w:ascii="Arial" w:cs="Arial" w:eastAsia="Arial" w:hAnsi="Arial"/>
                <w:color w:val="1A1A1A"/>
                <w:sz w:val="20"/>
                <w:szCs w:val="20"/>
              </w:rPr>
              <w:t xml:space="preserve">Git, GitHub</w:t>
            </w:r>
          </w:p>
        </w:tc>
      </w:tr>
    </w:tbl>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11. Expected Outcomes</w:t>
      </w:r>
    </w:p>
    <w:p>
      <w:pPr>
        <w:pStyle w:val="ListParagraph"/>
        <w:numPr>
          <w:ilvl w:val="0"/>
          <w:numId w:val="2"/>
        </w:numPr>
        <w:spacing w:after="40" w:before="40"/>
      </w:pPr>
      <w:r>
        <w:rPr>
          <w:rFonts w:ascii="Arial" w:cs="Arial" w:eastAsia="Arial" w:hAnsi="Arial"/>
          <w:color w:val="1A1A1A"/>
          <w:sz w:val="22"/>
          <w:szCs w:val="22"/>
        </w:rPr>
        <w:t xml:space="preserve">A trained and validated XGBoost classification model achieving high predictive accuracy on smart grid stability data.</w:t>
      </w:r>
    </w:p>
    <w:p>
      <w:pPr>
        <w:pStyle w:val="ListParagraph"/>
        <w:numPr>
          <w:ilvl w:val="0"/>
          <w:numId w:val="2"/>
        </w:numPr>
        <w:spacing w:after="40" w:before="40"/>
      </w:pPr>
      <w:r>
        <w:rPr>
          <w:rFonts w:ascii="Arial" w:cs="Arial" w:eastAsia="Arial" w:hAnsi="Arial"/>
          <w:color w:val="1A1A1A"/>
          <w:sz w:val="22"/>
          <w:szCs w:val="22"/>
        </w:rPr>
        <w:t xml:space="preserve">A quantitative performance comparison of four ML algorithms, providing insights into their relative suitability for grid classification tasks.</w:t>
      </w:r>
    </w:p>
    <w:p>
      <w:pPr>
        <w:pStyle w:val="ListParagraph"/>
        <w:numPr>
          <w:ilvl w:val="0"/>
          <w:numId w:val="2"/>
        </w:numPr>
        <w:spacing w:after="40" w:before="40"/>
      </w:pPr>
      <w:r>
        <w:rPr>
          <w:rFonts w:ascii="Arial" w:cs="Arial" w:eastAsia="Arial" w:hAnsi="Arial"/>
          <w:color w:val="1A1A1A"/>
          <w:sz w:val="22"/>
          <w:szCs w:val="22"/>
        </w:rPr>
        <w:t xml:space="preserve">A functional Streamlit web dashboard enabling real-time grid stability prediction from user-specified parameters.</w:t>
      </w:r>
    </w:p>
    <w:p>
      <w:pPr>
        <w:pStyle w:val="ListParagraph"/>
        <w:numPr>
          <w:ilvl w:val="0"/>
          <w:numId w:val="2"/>
        </w:numPr>
        <w:spacing w:after="40" w:before="40"/>
      </w:pPr>
      <w:r>
        <w:rPr>
          <w:rFonts w:ascii="Arial" w:cs="Arial" w:eastAsia="Arial" w:hAnsi="Arial"/>
          <w:color w:val="1A1A1A"/>
          <w:sz w:val="22"/>
          <w:szCs w:val="22"/>
        </w:rPr>
        <w:t xml:space="preserve">A documented codebase and project report suitable for academic evaluation and future extension.</w:t>
      </w:r>
    </w:p>
    <w:p>
      <w:pPr>
        <w:pStyle w:val="ListParagraph"/>
        <w:numPr>
          <w:ilvl w:val="0"/>
          <w:numId w:val="2"/>
        </w:numPr>
        <w:spacing w:after="40" w:before="40"/>
      </w:pPr>
      <w:r>
        <w:rPr>
          <w:rFonts w:ascii="Arial" w:cs="Arial" w:eastAsia="Arial" w:hAnsi="Arial"/>
          <w:color w:val="1A1A1A"/>
          <w:sz w:val="22"/>
          <w:szCs w:val="22"/>
        </w:rPr>
        <w:t xml:space="preserve">Demonstrated alignment of the project deliverables with relevant UN Sustainable Development Goals.</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12. Future Scope</w:t>
      </w:r>
    </w:p>
    <w:p>
      <w:pPr>
        <w:pStyle w:val="ListParagraph"/>
        <w:numPr>
          <w:ilvl w:val="0"/>
          <w:numId w:val="2"/>
        </w:numPr>
        <w:spacing w:after="40" w:before="40"/>
      </w:pPr>
      <w:r>
        <w:rPr>
          <w:rFonts w:ascii="Arial" w:cs="Arial" w:eastAsia="Arial" w:hAnsi="Arial"/>
          <w:color w:val="1A1A1A"/>
          <w:sz w:val="22"/>
          <w:szCs w:val="22"/>
        </w:rPr>
        <w:t xml:space="preserve">Integration of time-series modelling (e.g., LSTM or Temporal Convolutional Networks) to predict grid stability over a forecasting horizon rather than at a single point in time.</w:t>
      </w:r>
    </w:p>
    <w:p>
      <w:pPr>
        <w:pStyle w:val="ListParagraph"/>
        <w:numPr>
          <w:ilvl w:val="0"/>
          <w:numId w:val="2"/>
        </w:numPr>
        <w:spacing w:after="40" w:before="40"/>
      </w:pPr>
      <w:r>
        <w:rPr>
          <w:rFonts w:ascii="Arial" w:cs="Arial" w:eastAsia="Arial" w:hAnsi="Arial"/>
          <w:color w:val="1A1A1A"/>
          <w:sz w:val="22"/>
          <w:szCs w:val="22"/>
        </w:rPr>
        <w:t xml:space="preserve">Extension to multiclass stability categories to provide more granular risk classifications.</w:t>
      </w:r>
    </w:p>
    <w:p>
      <w:pPr>
        <w:pStyle w:val="ListParagraph"/>
        <w:numPr>
          <w:ilvl w:val="0"/>
          <w:numId w:val="2"/>
        </w:numPr>
        <w:spacing w:after="40" w:before="40"/>
      </w:pPr>
      <w:r>
        <w:rPr>
          <w:rFonts w:ascii="Arial" w:cs="Arial" w:eastAsia="Arial" w:hAnsi="Arial"/>
          <w:color w:val="1A1A1A"/>
          <w:sz w:val="22"/>
          <w:szCs w:val="22"/>
        </w:rPr>
        <w:t xml:space="preserve">Incorporation of real-time sensor data streams via IoT protocols (e.g., MQTT) to transition from offline to online inference.</w:t>
      </w:r>
    </w:p>
    <w:p>
      <w:pPr>
        <w:pStyle w:val="ListParagraph"/>
        <w:numPr>
          <w:ilvl w:val="0"/>
          <w:numId w:val="2"/>
        </w:numPr>
        <w:spacing w:after="40" w:before="40"/>
      </w:pPr>
      <w:r>
        <w:rPr>
          <w:rFonts w:ascii="Arial" w:cs="Arial" w:eastAsia="Arial" w:hAnsi="Arial"/>
          <w:color w:val="1A1A1A"/>
          <w:sz w:val="22"/>
          <w:szCs w:val="22"/>
        </w:rPr>
        <w:t xml:space="preserve">Deployment on cloud platforms (e.g., AWS, Azure, or Streamlit Cloud) to enable remote access and scalability.</w:t>
      </w:r>
    </w:p>
    <w:p>
      <w:pPr>
        <w:pStyle w:val="ListParagraph"/>
        <w:numPr>
          <w:ilvl w:val="0"/>
          <w:numId w:val="2"/>
        </w:numPr>
        <w:spacing w:after="40" w:before="40"/>
      </w:pPr>
      <w:r>
        <w:rPr>
          <w:rFonts w:ascii="Arial" w:cs="Arial" w:eastAsia="Arial" w:hAnsi="Arial"/>
          <w:color w:val="1A1A1A"/>
          <w:sz w:val="22"/>
          <w:szCs w:val="22"/>
        </w:rPr>
        <w:t xml:space="preserve">Exploration of explainable AI (XAI) techniques such as SHAP (SHapley Additive exPlanations) to improve model transparency for domain practitioners.</w:t>
      </w:r>
    </w:p>
    <w:p>
      <w:pPr>
        <w:pStyle w:val="ListParagraph"/>
        <w:numPr>
          <w:ilvl w:val="0"/>
          <w:numId w:val="2"/>
        </w:numPr>
        <w:spacing w:after="40" w:before="40"/>
      </w:pPr>
      <w:r>
        <w:rPr>
          <w:rFonts w:ascii="Arial" w:cs="Arial" w:eastAsia="Arial" w:hAnsi="Arial"/>
          <w:color w:val="1A1A1A"/>
          <w:sz w:val="22"/>
          <w:szCs w:val="22"/>
        </w:rPr>
        <w:t xml:space="preserve">Evaluation on larger, more heterogeneous smart grid datasets to improve model generalisability.</w:t>
      </w:r>
    </w:p>
    <w:p>
      <w:pPr>
        <w:spacing w:after="6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13. Conclusion</w:t>
      </w:r>
    </w:p>
    <w:p>
      <w:pPr>
        <w:spacing w:after="80" w:before="60" w:line="276"/>
        <w:jc w:val="both"/>
      </w:pPr>
      <w:r>
        <w:rPr>
          <w:rFonts w:ascii="Arial" w:cs="Arial" w:eastAsia="Arial" w:hAnsi="Arial"/>
          <w:color w:val="1A1A1A"/>
          <w:sz w:val="22"/>
          <w:szCs w:val="22"/>
        </w:rPr>
        <w:t xml:space="preserve">SmartGrid Guardian presents a machine learning-based approach to the prediction of smart grid stability, addressing a practically significant problem in the domain of intelligent energy systems. By systematically comparing four supervised classification algorithms on a benchmark simulation dataset, the project identifies XGBoost as the most effective model for this task and deploys it through a user-accessible Streamlit dashboard.</w:t>
      </w:r>
    </w:p>
    <w:p>
      <w:pPr>
        <w:spacing w:after="80" w:before="60" w:line="276"/>
        <w:jc w:val="both"/>
      </w:pPr>
      <w:r>
        <w:rPr>
          <w:rFonts w:ascii="Arial" w:cs="Arial" w:eastAsia="Arial" w:hAnsi="Arial"/>
          <w:color w:val="1A1A1A"/>
          <w:sz w:val="22"/>
          <w:szCs w:val="22"/>
        </w:rPr>
        <w:t xml:space="preserve">The project demonstrates the viability of data-driven methods as computational supplements to traditional physics-based grid analysis, offering a fast, scalable, and interpretable prediction mechanism. The outcomes are relevant to researchers, educators, and practitioners with interests in smart energy systems, applied machine learning, and sustainable infrastructure.</w:t>
      </w:r>
    </w:p>
    <w:p>
      <w:pPr>
        <w:spacing w:after="80" w:before="60" w:line="276"/>
        <w:jc w:val="both"/>
      </w:pPr>
      <w:r>
        <w:rPr>
          <w:rFonts w:ascii="Arial" w:cs="Arial" w:eastAsia="Arial" w:hAnsi="Arial"/>
          <w:color w:val="1A1A1A"/>
          <w:sz w:val="22"/>
          <w:szCs w:val="22"/>
        </w:rPr>
        <w:t xml:space="preserve">The project is aligned with the broader objectives of sustainable development, contributing meaningfully to goals related to clean energy access, infrastructure innovation, and the creation of resilient urban communities. Future extensions of this work may incorporate real-time data integration, advanced deep learning architectures, and cloud-based deployment to further enhance the practical utility of the system.</w:t>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14. References</w:t>
      </w:r>
    </w:p>
    <w:p>
      <w:pPr>
        <w:spacing w:after="80" w:before="60" w:line="276"/>
        <w:jc w:val="both"/>
      </w:pPr>
      <w:r>
        <w:rPr>
          <w:rFonts w:ascii="Arial" w:cs="Arial" w:eastAsia="Arial" w:hAnsi="Arial"/>
          <w:color w:val="1A1A1A"/>
          <w:sz w:val="22"/>
          <w:szCs w:val="22"/>
        </w:rPr>
        <w:t xml:space="preserve">The following references are formatted in accordance with the IEEE citation style:</w:t>
      </w:r>
    </w:p>
    <w:p>
      <w:pPr>
        <w:spacing w:after="60" w:before="0"/>
      </w:pPr>
      <w:r>
        <w:t xml:space="preserve"/>
      </w:r>
    </w:p>
    <w:p>
      <w:pPr>
        <w:spacing w:after="100" w:before="60" w:line="276"/>
        <w:ind w:left="720" w:hanging="720"/>
      </w:pPr>
      <w:r>
        <w:rPr>
          <w:rFonts w:ascii="Arial" w:cs="Arial" w:eastAsia="Arial" w:hAnsi="Arial"/>
          <w:color w:val="1A1A1A"/>
          <w:sz w:val="20"/>
          <w:szCs w:val="20"/>
        </w:rPr>
        <w:t xml:space="preserve">[1] S. Fang, D. Xu, and Y. Zhu, "Smart Grid — The New and Improved Power Grid: A Survey," IEEE Communications Surveys &amp; Tutorials, vol. 14, no. 4, pp. 944–980, 2012.</w:t>
      </w:r>
    </w:p>
    <w:p>
      <w:pPr>
        <w:spacing w:after="100" w:before="60" w:line="276"/>
        <w:ind w:left="720" w:hanging="720"/>
      </w:pPr>
      <w:r>
        <w:rPr>
          <w:rFonts w:ascii="Arial" w:cs="Arial" w:eastAsia="Arial" w:hAnsi="Arial"/>
          <w:color w:val="1A1A1A"/>
          <w:sz w:val="20"/>
          <w:szCs w:val="20"/>
        </w:rPr>
        <w:t xml:space="preserve">[2] H. Farhangi, "The Path of the Smart Grid," IEEE Power and Energy Magazine, vol. 8, no. 1, pp. 18–28, Jan.–Feb. 2010.</w:t>
      </w:r>
    </w:p>
    <w:p>
      <w:pPr>
        <w:spacing w:after="100" w:before="60" w:line="276"/>
        <w:ind w:left="720" w:hanging="720"/>
      </w:pPr>
      <w:r>
        <w:rPr>
          <w:rFonts w:ascii="Arial" w:cs="Arial" w:eastAsia="Arial" w:hAnsi="Arial"/>
          <w:color w:val="1A1A1A"/>
          <w:sz w:val="20"/>
          <w:szCs w:val="20"/>
        </w:rPr>
        <w:t xml:space="preserve">[3] S. Thaseen and C. A. Kumar, "Intrusion Detection Model Using Fusion of Improved Predictive Accuracy and Chi-Square Feature Selection," in Proc. 2015 International Conference on Computational Intelligence and Computing Research (ICCIC), Madurai, India, 2015, pp. 1–6.</w:t>
      </w:r>
    </w:p>
    <w:p>
      <w:pPr>
        <w:spacing w:after="100" w:before="60" w:line="276"/>
        <w:ind w:left="720" w:hanging="720"/>
      </w:pPr>
      <w:r>
        <w:rPr>
          <w:rFonts w:ascii="Arial" w:cs="Arial" w:eastAsia="Arial" w:hAnsi="Arial"/>
          <w:color w:val="1A1A1A"/>
          <w:sz w:val="20"/>
          <w:szCs w:val="20"/>
        </w:rPr>
        <w:t xml:space="preserve">[4] V. Arzamasov, K. Böhm, and P. Jochem, "Towards Concise Models of Grid Stability," in Proc. 2018 IEEE International Conference on Communications, Control, and Computing Technologies for Smart Grids (SmartGridComm), Aalborg, Denmark, 2018, pp. 1–6.</w:t>
      </w:r>
    </w:p>
    <w:p>
      <w:pPr>
        <w:spacing w:after="100" w:before="60" w:line="276"/>
        <w:ind w:left="720" w:hanging="720"/>
      </w:pPr>
      <w:r>
        <w:rPr>
          <w:rFonts w:ascii="Arial" w:cs="Arial" w:eastAsia="Arial" w:hAnsi="Arial"/>
          <w:color w:val="1A1A1A"/>
          <w:sz w:val="20"/>
          <w:szCs w:val="20"/>
        </w:rPr>
        <w:t xml:space="preserve">[5] R. Yan, B. Dong, and T. K. Das, "A Survey on Smart Grid Communication Infrastructures: Motivations, Requirements and Challenges," IEEE Communications Surveys &amp; Tutorials, vol. 15, no. 1, pp. 5–20, 2013.</w:t>
      </w:r>
    </w:p>
    <w:p>
      <w:pPr>
        <w:spacing w:after="100" w:before="60" w:line="276"/>
        <w:ind w:left="720" w:hanging="720"/>
      </w:pPr>
      <w:r>
        <w:rPr>
          <w:rFonts w:ascii="Arial" w:cs="Arial" w:eastAsia="Arial" w:hAnsi="Arial"/>
          <w:color w:val="1A1A1A"/>
          <w:sz w:val="20"/>
          <w:szCs w:val="20"/>
        </w:rPr>
        <w:t xml:space="preserve">[6] M. A. Salam and S. A. Khan, "Transition Towards Sustainable Energy Production — A Review of the Progress for Solar Energy in Saudi Arabia," Energy Exploration &amp; Exploitation, vol. 36, no. 1, pp. 3–27, 2018.</w:t>
      </w:r>
    </w:p>
    <w:p>
      <w:pPr>
        <w:spacing w:after="100" w:before="60" w:line="276"/>
        <w:ind w:left="720" w:hanging="720"/>
      </w:pPr>
      <w:r>
        <w:rPr>
          <w:rFonts w:ascii="Arial" w:cs="Arial" w:eastAsia="Arial" w:hAnsi="Arial"/>
          <w:color w:val="1A1A1A"/>
          <w:sz w:val="20"/>
          <w:szCs w:val="20"/>
        </w:rPr>
        <w:t xml:space="preserve">[7] S. R. Fahim and A. Sillitti, "An Approach for Prediction and Assessment of Smart Grid Stability," Electronics, vol. 9, no. 5, p. 893, May 2020.</w:t>
      </w:r>
    </w:p>
    <w:p>
      <w:pPr>
        <w:spacing w:after="100" w:before="60" w:line="276"/>
        <w:ind w:left="720" w:hanging="720"/>
      </w:pPr>
      <w:r>
        <w:rPr>
          <w:rFonts w:ascii="Arial" w:cs="Arial" w:eastAsia="Arial" w:hAnsi="Arial"/>
          <w:color w:val="1A1A1A"/>
          <w:sz w:val="20"/>
          <w:szCs w:val="20"/>
        </w:rPr>
        <w:t xml:space="preserve">[8] T. Ahmad, H. Chen, J. Guo, and J. Wang, "A Comprehensive Overview on the Data Driven and Large Scale Based Approaches for Forecasting of Building Energy Demand: A Review," Energy and Buildings, vol. 165, pp. 301–320, 2018.</w:t>
      </w:r>
    </w:p>
    <w:p>
      <w:pPr>
        <w:spacing w:after="100" w:before="60" w:line="276"/>
        <w:ind w:left="720" w:hanging="720"/>
      </w:pPr>
      <w:r>
        <w:rPr>
          <w:rFonts w:ascii="Arial" w:cs="Arial" w:eastAsia="Arial" w:hAnsi="Arial"/>
          <w:color w:val="1A1A1A"/>
          <w:sz w:val="20"/>
          <w:szCs w:val="20"/>
        </w:rPr>
        <w:t xml:space="preserve">[9] T. Chen and C. Guestrin, "XGBoost: A Scalable Tree Boosting System," in Proc. 22nd ACM SIGKDD International Conference on Knowledge Discovery and Data Mining, San Francisco, CA, USA, 2016, pp. 785–794.</w:t>
      </w:r>
    </w:p>
    <w:p>
      <w:pPr>
        <w:spacing w:after="100" w:before="60" w:line="276"/>
        <w:ind w:left="720" w:hanging="720"/>
      </w:pPr>
      <w:r>
        <w:rPr>
          <w:rFonts w:ascii="Arial" w:cs="Arial" w:eastAsia="Arial" w:hAnsi="Arial"/>
          <w:color w:val="1A1A1A"/>
          <w:sz w:val="20"/>
          <w:szCs w:val="20"/>
        </w:rPr>
        <w:t xml:space="preserve">[10] F. Pedregosa et al., "Scikit-learn: Machine Learning in Python," Journal of Machine Learning Research, vol. 12, pp. 2825–2830, 2011.</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spacing w:after="0" w:before="100"/>
      <w:jc w:val="center"/>
    </w:pPr>
    <w:r>
      <w:rPr>
        <w:rFonts w:ascii="Arial" w:cs="Arial" w:eastAsia="Arial" w:hAnsi="Arial"/>
        <w:color w:val="595959"/>
        <w:sz w:val="18"/>
        <w:szCs w:val="18"/>
      </w:rPr>
      <w:t xml:space="preserve">Department of Computer Science and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20" w:before="0"/>
    </w:pPr>
    <w:r>
      <w:rPr>
        <w:rFonts w:ascii="Arial" w:cs="Arial" w:eastAsia="Arial" w:hAnsi="Arial"/>
        <w:i/>
        <w:iCs/>
        <w:color w:val="595959"/>
        <w:sz w:val="18"/>
        <w:szCs w:val="18"/>
      </w:rPr>
      <w:t xml:space="preserve">SmartGrid Guardian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2026-06-24T04:19:23.350Z</dcterms:created>
  <dcterms:modified xsi:type="dcterms:W3CDTF">2026-06-24T04:19:23.350Z</dcterms:modified>
</cp:coreProperties>
</file>

<file path=docProps/custom.xml><?xml version="1.0" encoding="utf-8"?>
<Properties xmlns="http://schemas.openxmlformats.org/officeDocument/2006/custom-properties" xmlns:vt="http://schemas.openxmlformats.org/officeDocument/2006/docPropsVTypes"/>
</file>