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Hybrid Multi-Tenant Microservices Architecture</w:t>
      </w:r>
    </w:p>
    <w:p>
      <w:r>
        <w:rPr>
          <w:b/>
        </w:rPr>
        <w:t>Objective</w:t>
      </w:r>
      <w:r>
        <w:br/>
        <w:t>Build a production-ready SaaS platform supporting both schema-per-tenant and database-per-tenant isolation in a microservices architecture.</w:t>
        <w:br/>
      </w:r>
    </w:p>
    <w:p>
      <w:pPr>
        <w:pStyle w:val="Heading2"/>
      </w:pPr>
      <w:r>
        <w:t>Architecture</w:t>
      </w:r>
    </w:p>
    <w:p>
      <w:r>
        <w:t>Client -&gt; API Gateway -&gt; Auth Service -&gt; JWT(tenant_id) -&gt; Microservices -&gt; Shared Tenant SDK -&gt; Tenant Metadata Service -&gt; Master DB.</w:t>
        <w:br/>
        <w:t>Schema tenants use PostgreSQL schemas; enterprise tenants use dedicated databases.</w:t>
      </w:r>
    </w:p>
    <w:p>
      <w:pPr>
        <w:pStyle w:val="Heading2"/>
      </w:pPr>
      <w:r>
        <w:t>Core Services</w:t>
      </w:r>
    </w:p>
    <w:p>
      <w:r>
        <w:t>- API Gateway</w:t>
        <w:br/>
        <w:t>- Tenant Service</w:t>
        <w:br/>
        <w:t>- Auth Service</w:t>
        <w:br/>
        <w:t>- User Service</w:t>
        <w:br/>
        <w:t>- Claims Service</w:t>
        <w:br/>
        <w:t>- Notification Service</w:t>
      </w:r>
    </w:p>
    <w:p>
      <w:pPr>
        <w:pStyle w:val="Heading2"/>
      </w:pPr>
      <w:r>
        <w:t>Technology Stack</w:t>
      </w:r>
    </w:p>
    <w:p>
      <w:r>
        <w:t>FastAPI, SQLAlchemy 2.x, PostgreSQL, Redis, RabbitMQ/Kafka, ARQ/Celery, Kubernetes (GKE), Prometheus, Grafana, OpenTelemetry.</w:t>
      </w:r>
    </w:p>
    <w:p>
      <w:pPr>
        <w:pStyle w:val="Heading2"/>
      </w:pPr>
      <w:r>
        <w:t>Tenant Metadata</w:t>
      </w:r>
    </w:p>
    <w:p>
      <w:r>
        <w:t>Master database stores tenant_id, domain, isolation_type (schema/database), schema_name, database_name, plan, region, status.</w:t>
      </w:r>
    </w:p>
    <w:p>
      <w:pPr>
        <w:pStyle w:val="Heading2"/>
      </w:pPr>
      <w:r>
        <w:t>Tenant SDK</w:t>
      </w:r>
    </w:p>
    <w:p>
      <w:r>
        <w:t>Shared library used by every service to resolve tenant context and automatically switch schema or database without business logic changes.</w:t>
      </w:r>
    </w:p>
    <w:p>
      <w:pPr>
        <w:pStyle w:val="Heading2"/>
      </w:pPr>
      <w:r>
        <w:t>Request Flow</w:t>
      </w:r>
    </w:p>
    <w:p>
      <w:r>
        <w:t>Login -&gt; JWT -&gt; Gateway -&gt; tenant_id -&gt; Tenant SDK -&gt; Redis cache -&gt; Tenant Metadata -&gt; Schema/Database selection -&gt; ORM query.</w:t>
      </w:r>
    </w:p>
    <w:p>
      <w:pPr>
        <w:pStyle w:val="Heading2"/>
      </w:pPr>
      <w:r>
        <w:t>Provisioning</w:t>
      </w:r>
    </w:p>
    <w:p>
      <w:r>
        <w:t>Schema tenant: create schema, migrate, seed.</w:t>
        <w:br/>
        <w:t>Database tenant: create database, migrate, seed.</w:t>
      </w:r>
    </w:p>
    <w:p>
      <w:pPr>
        <w:pStyle w:val="Heading2"/>
      </w:pPr>
      <w:r>
        <w:t>Background Jobs</w:t>
      </w:r>
    </w:p>
    <w:p>
      <w:r>
        <w:t>Every event includes tenant_id. Workers resolve tenant context before processing.</w:t>
      </w:r>
    </w:p>
    <w:p>
      <w:pPr>
        <w:pStyle w:val="Heading2"/>
      </w:pPr>
      <w:r>
        <w:t>Kubernetes</w:t>
      </w:r>
    </w:p>
    <w:p>
      <w:r>
        <w:t>Each service has its own Deployment, Service, HPA, ConfigMap and Secret. Environments: dev, qa, uat, prod.</w:t>
      </w:r>
    </w:p>
    <w:p>
      <w:pPr>
        <w:pStyle w:val="Heading2"/>
      </w:pPr>
      <w:r>
        <w:t>Roadmap</w:t>
      </w:r>
    </w:p>
    <w:p>
      <w:r>
        <w:t>Phase 1: Gateway, Auth, Tenant Service, Tenant SDK.</w:t>
        <w:br/>
        <w:t>Phase 2: Hybrid routing and provisioning.</w:t>
        <w:br/>
        <w:t>Phase 3: Business services and events.</w:t>
        <w:br/>
        <w:t>Phase 4: Observability, CI/CD, production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