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11BE76">
      <w:pPr>
        <w:pStyle w:val="4"/>
        <w:keepNext w:val="0"/>
        <w:keepLines w:val="0"/>
        <w:pageBreakBefore w:val="0"/>
        <w:widowControl/>
        <w:suppressLineNumbers w:val="0"/>
        <w:kinsoku/>
        <w:wordWrap/>
        <w:overflowPunct/>
        <w:topLinePunct w:val="0"/>
        <w:autoSpaceDE/>
        <w:autoSpaceDN/>
        <w:bidi w:val="0"/>
        <w:adjustRightInd/>
        <w:snapToGrid/>
        <w:spacing w:before="168" w:beforeAutospacing="0" w:after="168" w:afterAutospacing="0"/>
        <w:ind w:right="0"/>
        <w:textAlignment w:val="auto"/>
        <w:rPr>
          <w:rFonts w:hint="eastAsia" w:ascii="仿宋_GB2312" w:hAnsi="仿宋_GB2312" w:eastAsia="仿宋_GB2312" w:cs="仿宋_GB2312"/>
          <w:b/>
          <w:bCs/>
          <w:i w:val="0"/>
          <w:iCs w:val="0"/>
          <w:caps w:val="0"/>
          <w:color w:val="333333"/>
          <w:spacing w:val="0"/>
          <w:sz w:val="44"/>
          <w:szCs w:val="44"/>
        </w:rPr>
      </w:pPr>
      <w:r>
        <w:rPr>
          <w:rFonts w:hint="eastAsia" w:ascii="仿宋_GB2312" w:hAnsi="仿宋_GB2312" w:eastAsia="仿宋_GB2312" w:cs="仿宋_GB2312"/>
          <w:b/>
          <w:bCs/>
          <w:i w:val="0"/>
          <w:iCs w:val="0"/>
          <w:caps w:val="0"/>
          <w:color w:val="333333"/>
          <w:spacing w:val="0"/>
          <w:sz w:val="44"/>
          <w:szCs w:val="44"/>
        </w:rPr>
        <w:t>汨罗“铁笼游街”摆拍背后：真正被关进笼子的不是演员，而是流量经济的底线</w:t>
      </w:r>
    </w:p>
    <w:p w14:paraId="5C313526">
      <w:pPr>
        <w:pStyle w:val="4"/>
        <w:keepNext w:val="0"/>
        <w:keepLines w:val="0"/>
        <w:pageBreakBefore w:val="0"/>
        <w:widowControl/>
        <w:suppressLineNumbers w:val="0"/>
        <w:kinsoku/>
        <w:wordWrap/>
        <w:overflowPunct/>
        <w:topLinePunct w:val="0"/>
        <w:autoSpaceDE/>
        <w:autoSpaceDN/>
        <w:bidi w:val="0"/>
        <w:adjustRightInd/>
        <w:snapToGrid/>
        <w:spacing w:before="168" w:beforeAutospacing="0" w:after="168" w:afterAutospacing="0"/>
        <w:ind w:left="0" w:right="0" w:firstLine="640" w:firstLineChars="200"/>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i w:val="0"/>
          <w:iCs w:val="0"/>
          <w:caps w:val="0"/>
          <w:color w:val="333333"/>
          <w:spacing w:val="0"/>
          <w:sz w:val="32"/>
          <w:szCs w:val="32"/>
        </w:rPr>
        <w:t>6月22日至25日，湖南岳阳汨罗市街头，多名男子推着不锈钢笼子沿街前行，笼中关着两名戴口罩的女性和一只黑狗，笼顶竖着写有“偷人的”字样的纸牌，一名女子敲锣随行。场面形同旧社会“浸猪笼”私刑，围观者纷纷拍摄，视频迅速在网络传播。</w:t>
      </w:r>
    </w:p>
    <w:p w14:paraId="7CF32E59">
      <w:pPr>
        <w:pStyle w:val="4"/>
        <w:keepNext w:val="0"/>
        <w:keepLines w:val="0"/>
        <w:pageBreakBefore w:val="0"/>
        <w:widowControl/>
        <w:suppressLineNumbers w:val="0"/>
        <w:kinsoku/>
        <w:wordWrap/>
        <w:overflowPunct/>
        <w:topLinePunct w:val="0"/>
        <w:autoSpaceDE/>
        <w:autoSpaceDN/>
        <w:bidi w:val="0"/>
        <w:adjustRightInd/>
        <w:snapToGrid/>
        <w:spacing w:before="168" w:beforeAutospacing="0" w:after="168" w:afterAutospacing="0"/>
        <w:ind w:left="0" w:right="0" w:firstLine="640" w:firstLineChars="200"/>
        <w:textAlignment w:val="auto"/>
        <w:rPr>
          <w:rFonts w:hint="eastAsia" w:ascii="仿宋_GB2312" w:hAnsi="仿宋_GB2312" w:eastAsia="仿宋_GB2312" w:cs="仿宋_GB2312"/>
          <w:i w:val="0"/>
          <w:iCs w:val="0"/>
          <w:caps w:val="0"/>
          <w:color w:val="333333"/>
          <w:spacing w:val="0"/>
          <w:sz w:val="32"/>
          <w:szCs w:val="32"/>
          <w:lang w:eastAsia="zh-CN"/>
        </w:rPr>
      </w:pPr>
      <w:r>
        <w:rPr>
          <w:rFonts w:hint="eastAsia" w:ascii="仿宋_GB2312" w:hAnsi="仿宋_GB2312" w:eastAsia="仿宋_GB2312" w:cs="仿宋_GB2312"/>
          <w:i w:val="0"/>
          <w:iCs w:val="0"/>
          <w:caps w:val="0"/>
          <w:color w:val="333333"/>
          <w:spacing w:val="0"/>
          <w:sz w:val="32"/>
          <w:szCs w:val="32"/>
          <w:lang w:eastAsia="zh-CN"/>
        </w:rPr>
        <w:drawing>
          <wp:inline distT="0" distB="0" distL="114300" distR="114300">
            <wp:extent cx="2962275" cy="3242310"/>
            <wp:effectExtent l="0" t="0" r="9525" b="8890"/>
            <wp:docPr id="1" name="图片 1" descr="e1cfabd599f7864bd5a4947f72178f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1cfabd599f7864bd5a4947f72178f2d"/>
                    <pic:cNvPicPr>
                      <a:picLocks noChangeAspect="1"/>
                    </pic:cNvPicPr>
                  </pic:nvPicPr>
                  <pic:blipFill>
                    <a:blip r:embed="rId4"/>
                    <a:stretch>
                      <a:fillRect/>
                    </a:stretch>
                  </pic:blipFill>
                  <pic:spPr>
                    <a:xfrm>
                      <a:off x="0" y="0"/>
                      <a:ext cx="2962275" cy="3242310"/>
                    </a:xfrm>
                    <a:prstGeom prst="rect">
                      <a:avLst/>
                    </a:prstGeom>
                  </pic:spPr>
                </pic:pic>
              </a:graphicData>
            </a:graphic>
          </wp:inline>
        </w:drawing>
      </w:r>
    </w:p>
    <w:p w14:paraId="6231CFC4">
      <w:pPr>
        <w:pStyle w:val="4"/>
        <w:keepNext w:val="0"/>
        <w:keepLines w:val="0"/>
        <w:pageBreakBefore w:val="0"/>
        <w:widowControl/>
        <w:suppressLineNumbers w:val="0"/>
        <w:kinsoku/>
        <w:wordWrap/>
        <w:overflowPunct/>
        <w:topLinePunct w:val="0"/>
        <w:autoSpaceDE/>
        <w:autoSpaceDN/>
        <w:bidi w:val="0"/>
        <w:adjustRightInd/>
        <w:snapToGrid/>
        <w:spacing w:before="168" w:beforeAutospacing="0" w:after="168" w:afterAutospacing="0"/>
        <w:ind w:left="0" w:right="0" w:firstLine="640" w:firstLineChars="200"/>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i w:val="0"/>
          <w:iCs w:val="0"/>
          <w:caps w:val="0"/>
          <w:color w:val="333333"/>
          <w:spacing w:val="0"/>
          <w:sz w:val="32"/>
          <w:szCs w:val="32"/>
        </w:rPr>
        <w:t>6月26日，汨罗市公安局发布警情通报：何某（男，38岁）为博取网络流量、牟取不当利益，纠集龚某某等8人在公共场所多次摆拍低俗场景。策划组织者何某被依法刑事拘留，其余8人被行政拘留，涉事账号已被网信部门封禁。</w:t>
      </w:r>
    </w:p>
    <w:p w14:paraId="4E5B96FC">
      <w:pPr>
        <w:pStyle w:val="4"/>
        <w:keepNext w:val="0"/>
        <w:keepLines w:val="0"/>
        <w:pageBreakBefore w:val="0"/>
        <w:widowControl/>
        <w:suppressLineNumbers w:val="0"/>
        <w:kinsoku/>
        <w:wordWrap/>
        <w:overflowPunct/>
        <w:topLinePunct w:val="0"/>
        <w:autoSpaceDE/>
        <w:autoSpaceDN/>
        <w:bidi w:val="0"/>
        <w:adjustRightInd/>
        <w:snapToGrid/>
        <w:spacing w:before="168" w:beforeAutospacing="0" w:after="168" w:afterAutospacing="0"/>
        <w:ind w:left="0" w:right="0" w:firstLine="480" w:firstLineChars="200"/>
        <w:textAlignment w:val="auto"/>
        <w:rPr>
          <w:rFonts w:hint="eastAsia" w:ascii="仿宋_GB2312" w:hAnsi="仿宋_GB2312" w:eastAsia="仿宋_GB2312" w:cs="仿宋_GB2312"/>
          <w:i w:val="0"/>
          <w:iCs w:val="0"/>
          <w:caps w:val="0"/>
          <w:color w:val="333333"/>
          <w:spacing w:val="0"/>
          <w:sz w:val="32"/>
          <w:szCs w:val="32"/>
        </w:rPr>
      </w:pPr>
      <w:r>
        <w:drawing>
          <wp:inline distT="0" distB="0" distL="114300" distR="114300">
            <wp:extent cx="2393315" cy="4255770"/>
            <wp:effectExtent l="0" t="0" r="6985" b="1143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2393315" cy="4255770"/>
                    </a:xfrm>
                    <a:prstGeom prst="rect">
                      <a:avLst/>
                    </a:prstGeom>
                    <a:noFill/>
                    <a:ln>
                      <a:noFill/>
                    </a:ln>
                  </pic:spPr>
                </pic:pic>
              </a:graphicData>
            </a:graphic>
          </wp:inline>
        </w:drawing>
      </w:r>
      <w:bookmarkStart w:id="0" w:name="_GoBack"/>
      <w:bookmarkEnd w:id="0"/>
    </w:p>
    <w:p w14:paraId="338562B1">
      <w:pPr>
        <w:pStyle w:val="4"/>
        <w:keepNext w:val="0"/>
        <w:keepLines w:val="0"/>
        <w:pageBreakBefore w:val="0"/>
        <w:widowControl/>
        <w:suppressLineNumbers w:val="0"/>
        <w:kinsoku/>
        <w:wordWrap/>
        <w:overflowPunct/>
        <w:topLinePunct w:val="0"/>
        <w:autoSpaceDE/>
        <w:autoSpaceDN/>
        <w:bidi w:val="0"/>
        <w:adjustRightInd/>
        <w:snapToGrid/>
        <w:spacing w:before="168" w:beforeAutospacing="0" w:after="168" w:afterAutospacing="0"/>
        <w:ind w:left="0" w:right="0" w:firstLine="640" w:firstLineChars="200"/>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i w:val="0"/>
          <w:iCs w:val="0"/>
          <w:caps w:val="0"/>
          <w:color w:val="333333"/>
          <w:spacing w:val="0"/>
          <w:sz w:val="32"/>
          <w:szCs w:val="32"/>
        </w:rPr>
        <w:t>同日，中国妇女报发表评论《对于宣扬封建糟粕的“摆拍”，必须严打》，指出“把女性关进铁笼、挂牌游街，复刻旧社会‘浸猪笼’的私刑场景，这种画面自带封建糟粕的恶臭”，“即便是‘摆拍’，也不能改变其公开侮辱、扰乱公共秩序、传播低俗暴力观念的违法性质”。</w:t>
      </w:r>
    </w:p>
    <w:p w14:paraId="1997C4C9">
      <w:pPr>
        <w:pStyle w:val="4"/>
        <w:keepNext w:val="0"/>
        <w:keepLines w:val="0"/>
        <w:pageBreakBefore w:val="0"/>
        <w:widowControl/>
        <w:suppressLineNumbers w:val="0"/>
        <w:kinsoku/>
        <w:wordWrap/>
        <w:overflowPunct/>
        <w:topLinePunct w:val="0"/>
        <w:autoSpaceDE/>
        <w:autoSpaceDN/>
        <w:bidi w:val="0"/>
        <w:adjustRightInd/>
        <w:snapToGrid/>
        <w:spacing w:before="168" w:beforeAutospacing="0" w:after="168" w:afterAutospacing="0"/>
        <w:ind w:left="0" w:right="0" w:firstLine="640" w:firstLineChars="200"/>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i w:val="0"/>
          <w:iCs w:val="0"/>
          <w:caps w:val="0"/>
          <w:color w:val="333333"/>
          <w:spacing w:val="0"/>
          <w:sz w:val="32"/>
          <w:szCs w:val="32"/>
        </w:rPr>
        <w:t>一场闹剧以刑拘收场，但真正值得追问的是：为什么有人会认为，把封建糟粕搬上街头就能换来流量？</w:t>
      </w:r>
    </w:p>
    <w:p w14:paraId="365050A5">
      <w:pPr>
        <w:pStyle w:val="4"/>
        <w:keepNext w:val="0"/>
        <w:keepLines w:val="0"/>
        <w:pageBreakBefore w:val="0"/>
        <w:widowControl/>
        <w:suppressLineNumbers w:val="0"/>
        <w:kinsoku/>
        <w:wordWrap/>
        <w:overflowPunct/>
        <w:topLinePunct w:val="0"/>
        <w:autoSpaceDE/>
        <w:autoSpaceDN/>
        <w:bidi w:val="0"/>
        <w:adjustRightInd/>
        <w:snapToGrid/>
        <w:spacing w:before="168" w:beforeAutospacing="0" w:after="168" w:afterAutospacing="0"/>
        <w:ind w:right="0"/>
        <w:textAlignment w:val="auto"/>
        <w:rPr>
          <w:rFonts w:hint="eastAsia" w:ascii="仿宋_GB2312" w:hAnsi="仿宋_GB2312" w:eastAsia="仿宋_GB2312" w:cs="仿宋_GB2312"/>
          <w:b/>
          <w:bCs/>
          <w:i w:val="0"/>
          <w:iCs w:val="0"/>
          <w:caps w:val="0"/>
          <w:color w:val="333333"/>
          <w:spacing w:val="0"/>
          <w:sz w:val="44"/>
          <w:szCs w:val="44"/>
        </w:rPr>
      </w:pPr>
      <w:r>
        <w:rPr>
          <w:rFonts w:hint="eastAsia" w:ascii="仿宋_GB2312" w:hAnsi="仿宋_GB2312" w:eastAsia="仿宋_GB2312" w:cs="仿宋_GB2312"/>
          <w:b/>
          <w:bCs/>
          <w:i w:val="0"/>
          <w:iCs w:val="0"/>
          <w:caps w:val="0"/>
          <w:color w:val="333333"/>
          <w:spacing w:val="0"/>
          <w:sz w:val="44"/>
          <w:szCs w:val="44"/>
        </w:rPr>
        <w:t>争议焦点并非“摆拍”本身，而是流量逻辑如何系统性突破底线</w:t>
      </w:r>
    </w:p>
    <w:p w14:paraId="62273AA3">
      <w:pPr>
        <w:pStyle w:val="4"/>
        <w:keepNext w:val="0"/>
        <w:keepLines w:val="0"/>
        <w:pageBreakBefore w:val="0"/>
        <w:widowControl/>
        <w:suppressLineNumbers w:val="0"/>
        <w:kinsoku/>
        <w:wordWrap/>
        <w:overflowPunct/>
        <w:topLinePunct w:val="0"/>
        <w:autoSpaceDE/>
        <w:autoSpaceDN/>
        <w:bidi w:val="0"/>
        <w:adjustRightInd/>
        <w:snapToGrid/>
        <w:spacing w:before="168" w:beforeAutospacing="0" w:after="168" w:afterAutospacing="0"/>
        <w:ind w:left="0" w:right="0" w:firstLine="640" w:firstLineChars="200"/>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i w:val="0"/>
          <w:iCs w:val="0"/>
          <w:caps w:val="0"/>
          <w:color w:val="333333"/>
          <w:spacing w:val="0"/>
          <w:sz w:val="32"/>
          <w:szCs w:val="32"/>
        </w:rPr>
        <w:t>这起事件并非一时冲动的偶发闹剧，而是一场精密策划的流量生产。从铁笼道具、纸牌标语到敲锣游街，每一个环节都经过事先设计。据警方通报，何某等人自6月22日起“多次摆拍”，据检察日报披露，其一度将剧本设定为“反串”形式以规避风险，最终仍选择以最刺激公众神经的版本呈现。</w:t>
      </w:r>
    </w:p>
    <w:p w14:paraId="64E194A4">
      <w:pPr>
        <w:pStyle w:val="4"/>
        <w:keepNext w:val="0"/>
        <w:keepLines w:val="0"/>
        <w:pageBreakBefore w:val="0"/>
        <w:widowControl/>
        <w:suppressLineNumbers w:val="0"/>
        <w:kinsoku/>
        <w:wordWrap/>
        <w:overflowPunct/>
        <w:topLinePunct w:val="0"/>
        <w:autoSpaceDE/>
        <w:autoSpaceDN/>
        <w:bidi w:val="0"/>
        <w:adjustRightInd/>
        <w:snapToGrid/>
        <w:spacing w:before="168" w:beforeAutospacing="0" w:after="168" w:afterAutospacing="0"/>
        <w:ind w:left="0" w:right="0" w:firstLine="640" w:firstLineChars="200"/>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i w:val="0"/>
          <w:iCs w:val="0"/>
          <w:caps w:val="0"/>
          <w:color w:val="333333"/>
          <w:spacing w:val="0"/>
          <w:sz w:val="32"/>
          <w:szCs w:val="32"/>
        </w:rPr>
        <w:t>“浸猪笼”是明清时期民间宗族私刑，多用于惩罚被认定通奸的女性，属于已被文明社会彻底抛弃的封建陋习。涉事者选择这一符号并非偶然——它同时具备性别羞辱的视觉冲击力、封建糟粕的猎奇性，以及对私德话题的流量吸附力。这是一种对公众注意力的精确打击：精准选取最能刺痛社会的符号，包装成短视频产品，换取算法的流量分配。而恰恰是这种“恶臭”和“羞辱”，被当作了内容产品的卖点。</w:t>
      </w:r>
    </w:p>
    <w:p w14:paraId="6ADCDD97">
      <w:pPr>
        <w:pStyle w:val="4"/>
        <w:keepNext w:val="0"/>
        <w:keepLines w:val="0"/>
        <w:pageBreakBefore w:val="0"/>
        <w:widowControl/>
        <w:suppressLineNumbers w:val="0"/>
        <w:kinsoku/>
        <w:wordWrap/>
        <w:overflowPunct/>
        <w:topLinePunct w:val="0"/>
        <w:autoSpaceDE/>
        <w:autoSpaceDN/>
        <w:bidi w:val="0"/>
        <w:adjustRightInd/>
        <w:snapToGrid/>
        <w:spacing w:before="168" w:beforeAutospacing="0" w:after="168" w:afterAutospacing="0"/>
        <w:ind w:right="0"/>
        <w:textAlignment w:val="auto"/>
        <w:rPr>
          <w:rFonts w:hint="eastAsia" w:ascii="仿宋_GB2312" w:hAnsi="仿宋_GB2312" w:eastAsia="仿宋_GB2312" w:cs="仿宋_GB2312"/>
          <w:b/>
          <w:bCs/>
          <w:i w:val="0"/>
          <w:iCs w:val="0"/>
          <w:caps w:val="0"/>
          <w:color w:val="333333"/>
          <w:spacing w:val="0"/>
          <w:sz w:val="44"/>
          <w:szCs w:val="44"/>
        </w:rPr>
      </w:pPr>
      <w:r>
        <w:rPr>
          <w:rFonts w:hint="eastAsia" w:ascii="仿宋_GB2312" w:hAnsi="仿宋_GB2312" w:eastAsia="仿宋_GB2312" w:cs="仿宋_GB2312"/>
          <w:b/>
          <w:bCs/>
          <w:i w:val="0"/>
          <w:iCs w:val="0"/>
          <w:caps w:val="0"/>
          <w:color w:val="333333"/>
          <w:spacing w:val="0"/>
          <w:sz w:val="44"/>
          <w:szCs w:val="44"/>
        </w:rPr>
        <w:t>摆拍正在成为一门“反向竞劣”的生意</w:t>
      </w:r>
    </w:p>
    <w:p w14:paraId="5FE650B5">
      <w:pPr>
        <w:pStyle w:val="4"/>
        <w:keepNext w:val="0"/>
        <w:keepLines w:val="0"/>
        <w:pageBreakBefore w:val="0"/>
        <w:widowControl/>
        <w:suppressLineNumbers w:val="0"/>
        <w:kinsoku/>
        <w:wordWrap/>
        <w:overflowPunct/>
        <w:topLinePunct w:val="0"/>
        <w:autoSpaceDE/>
        <w:autoSpaceDN/>
        <w:bidi w:val="0"/>
        <w:adjustRightInd/>
        <w:snapToGrid/>
        <w:spacing w:before="168" w:beforeAutospacing="0" w:after="168" w:afterAutospacing="0"/>
        <w:ind w:left="0" w:right="0" w:firstLine="640" w:firstLineChars="200"/>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i w:val="0"/>
          <w:iCs w:val="0"/>
          <w:caps w:val="0"/>
          <w:color w:val="333333"/>
          <w:spacing w:val="0"/>
          <w:sz w:val="32"/>
          <w:szCs w:val="32"/>
        </w:rPr>
        <w:t>“铁笼游街”并非孤例。</w:t>
      </w:r>
    </w:p>
    <w:p w14:paraId="38547B61">
      <w:pPr>
        <w:pStyle w:val="4"/>
        <w:keepNext w:val="0"/>
        <w:keepLines w:val="0"/>
        <w:pageBreakBefore w:val="0"/>
        <w:widowControl/>
        <w:suppressLineNumbers w:val="0"/>
        <w:kinsoku/>
        <w:wordWrap/>
        <w:overflowPunct/>
        <w:topLinePunct w:val="0"/>
        <w:autoSpaceDE/>
        <w:autoSpaceDN/>
        <w:bidi w:val="0"/>
        <w:adjustRightInd/>
        <w:snapToGrid/>
        <w:spacing w:before="168" w:beforeAutospacing="0" w:after="168" w:afterAutospacing="0"/>
        <w:ind w:left="0" w:right="0" w:firstLine="640" w:firstLineChars="200"/>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i w:val="0"/>
          <w:iCs w:val="0"/>
          <w:caps w:val="0"/>
          <w:color w:val="333333"/>
          <w:spacing w:val="0"/>
          <w:sz w:val="32"/>
          <w:szCs w:val="32"/>
        </w:rPr>
        <w:t>5月，北京“盲人女孩盲道被撞”摆拍案——139万粉丝的博主虚构弱势群体被欺凌的场景，两名当事人被采取刑事强制措施。同月，“宾利车主救助被弃新人”被证实为剧本摆拍，账号被禁言并取消营利权限。</w:t>
      </w:r>
    </w:p>
    <w:p w14:paraId="200CC03B">
      <w:pPr>
        <w:pStyle w:val="4"/>
        <w:keepNext w:val="0"/>
        <w:keepLines w:val="0"/>
        <w:pageBreakBefore w:val="0"/>
        <w:widowControl/>
        <w:suppressLineNumbers w:val="0"/>
        <w:kinsoku/>
        <w:wordWrap/>
        <w:overflowPunct/>
        <w:topLinePunct w:val="0"/>
        <w:autoSpaceDE/>
        <w:autoSpaceDN/>
        <w:bidi w:val="0"/>
        <w:adjustRightInd/>
        <w:snapToGrid/>
        <w:spacing w:before="168" w:beforeAutospacing="0" w:after="168" w:afterAutospacing="0"/>
        <w:ind w:left="0" w:right="0" w:firstLine="640" w:firstLineChars="200"/>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i w:val="0"/>
          <w:iCs w:val="0"/>
          <w:caps w:val="0"/>
          <w:color w:val="333333"/>
          <w:spacing w:val="0"/>
          <w:sz w:val="32"/>
          <w:szCs w:val="32"/>
        </w:rPr>
        <w:t>4月至6月，四川公安“治网2026”百日攻坚专项行动侦办摆拍引流案件141起、处理违法人员165人、关停账号150个，其中包括百万网红虚构“抓蜈蚣致眼睛失明”、虚构摆拍“持刀捅人”剧情等案件。</w:t>
      </w:r>
    </w:p>
    <w:p w14:paraId="127388A1">
      <w:pPr>
        <w:pStyle w:val="4"/>
        <w:keepNext w:val="0"/>
        <w:keepLines w:val="0"/>
        <w:pageBreakBefore w:val="0"/>
        <w:widowControl/>
        <w:suppressLineNumbers w:val="0"/>
        <w:kinsoku/>
        <w:wordWrap/>
        <w:overflowPunct/>
        <w:topLinePunct w:val="0"/>
        <w:autoSpaceDE/>
        <w:autoSpaceDN/>
        <w:bidi w:val="0"/>
        <w:adjustRightInd/>
        <w:snapToGrid/>
        <w:spacing w:before="168" w:beforeAutospacing="0" w:after="168" w:afterAutospacing="0"/>
        <w:ind w:left="0" w:right="0" w:firstLine="640" w:firstLineChars="200"/>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i w:val="0"/>
          <w:iCs w:val="0"/>
          <w:caps w:val="0"/>
          <w:color w:val="333333"/>
          <w:spacing w:val="0"/>
          <w:sz w:val="32"/>
          <w:szCs w:val="32"/>
        </w:rPr>
        <w:t>6月，焦作“悲情外卖骑手”摆拍案——两名博主自编自导“单亲妈妈送外卖”等悲情剧本，累计发布虚假视频90余条，转评赞总量超千万，被依法行政处罚。同期，贵州威宁三人编造“未成年女儿失踪”剧本直播PK带货，被行政拘留。</w:t>
      </w:r>
    </w:p>
    <w:p w14:paraId="1FF4108E">
      <w:pPr>
        <w:pStyle w:val="4"/>
        <w:keepNext w:val="0"/>
        <w:keepLines w:val="0"/>
        <w:pageBreakBefore w:val="0"/>
        <w:widowControl/>
        <w:suppressLineNumbers w:val="0"/>
        <w:kinsoku/>
        <w:wordWrap/>
        <w:overflowPunct/>
        <w:topLinePunct w:val="0"/>
        <w:autoSpaceDE/>
        <w:autoSpaceDN/>
        <w:bidi w:val="0"/>
        <w:adjustRightInd/>
        <w:snapToGrid/>
        <w:spacing w:before="168" w:beforeAutospacing="0" w:after="168" w:afterAutospacing="0"/>
        <w:ind w:left="0" w:right="0" w:firstLine="640" w:firstLineChars="200"/>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i w:val="0"/>
          <w:iCs w:val="0"/>
          <w:caps w:val="0"/>
          <w:color w:val="333333"/>
          <w:spacing w:val="0"/>
          <w:sz w:val="32"/>
          <w:szCs w:val="32"/>
        </w:rPr>
        <w:t>从卖惨到低俗，从虚构冲突到复刻封建私刑，摆拍的“选题”正在经历明显的恶性升级。当越来越多的人涌入这一赛道，常规的悲情故事已无法获得足够流量溢价，创作者必须不断寻找更刺激、更具争议的题材才能被算法选中。在“黑红也是红”的激励机制下，底线不是被突然冲破的，而是被一步步下移的。</w:t>
      </w:r>
    </w:p>
    <w:p w14:paraId="6012D340">
      <w:pPr>
        <w:pStyle w:val="4"/>
        <w:keepNext w:val="0"/>
        <w:keepLines w:val="0"/>
        <w:pageBreakBefore w:val="0"/>
        <w:widowControl/>
        <w:suppressLineNumbers w:val="0"/>
        <w:kinsoku/>
        <w:wordWrap/>
        <w:overflowPunct/>
        <w:topLinePunct w:val="0"/>
        <w:autoSpaceDE/>
        <w:autoSpaceDN/>
        <w:bidi w:val="0"/>
        <w:adjustRightInd/>
        <w:snapToGrid/>
        <w:spacing w:before="168" w:beforeAutospacing="0" w:after="168" w:afterAutospacing="0"/>
        <w:ind w:right="0"/>
        <w:textAlignment w:val="auto"/>
        <w:rPr>
          <w:rFonts w:hint="eastAsia" w:ascii="仿宋_GB2312" w:hAnsi="仿宋_GB2312" w:eastAsia="仿宋_GB2312" w:cs="仿宋_GB2312"/>
          <w:b/>
          <w:bCs/>
          <w:i w:val="0"/>
          <w:iCs w:val="0"/>
          <w:caps w:val="0"/>
          <w:color w:val="333333"/>
          <w:spacing w:val="0"/>
          <w:sz w:val="44"/>
          <w:szCs w:val="44"/>
        </w:rPr>
      </w:pPr>
      <w:r>
        <w:rPr>
          <w:rFonts w:hint="eastAsia" w:ascii="仿宋_GB2312" w:hAnsi="仿宋_GB2312" w:eastAsia="仿宋_GB2312" w:cs="仿宋_GB2312"/>
          <w:b/>
          <w:bCs/>
          <w:i w:val="0"/>
          <w:iCs w:val="0"/>
          <w:caps w:val="0"/>
          <w:color w:val="333333"/>
          <w:spacing w:val="0"/>
          <w:sz w:val="44"/>
          <w:szCs w:val="44"/>
        </w:rPr>
        <w:t>从行政拘留到刑事拘留，释放什么信号？</w:t>
      </w:r>
    </w:p>
    <w:p w14:paraId="6CC11662">
      <w:pPr>
        <w:pStyle w:val="4"/>
        <w:keepNext w:val="0"/>
        <w:keepLines w:val="0"/>
        <w:pageBreakBefore w:val="0"/>
        <w:widowControl/>
        <w:suppressLineNumbers w:val="0"/>
        <w:kinsoku/>
        <w:wordWrap/>
        <w:overflowPunct/>
        <w:topLinePunct w:val="0"/>
        <w:autoSpaceDE/>
        <w:autoSpaceDN/>
        <w:bidi w:val="0"/>
        <w:adjustRightInd/>
        <w:snapToGrid/>
        <w:spacing w:before="168" w:beforeAutospacing="0" w:after="168" w:afterAutospacing="0"/>
        <w:ind w:left="0" w:right="0" w:firstLine="640" w:firstLineChars="200"/>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i w:val="0"/>
          <w:iCs w:val="0"/>
          <w:caps w:val="0"/>
          <w:color w:val="333333"/>
          <w:spacing w:val="0"/>
          <w:sz w:val="32"/>
          <w:szCs w:val="32"/>
        </w:rPr>
        <w:t>此前的摆拍案件中，多数当事人被处以行政处罚。而此次汨罗警方直接以涉嫌寻衅滋事罪（依据《刑法》第293条）对策划者实施刑事拘留，标志着对无底线摆拍行为的法律惩戒等级正在系统升级。</w:t>
      </w:r>
    </w:p>
    <w:p w14:paraId="2010AE31">
      <w:pPr>
        <w:pStyle w:val="4"/>
        <w:keepNext w:val="0"/>
        <w:keepLines w:val="0"/>
        <w:pageBreakBefore w:val="0"/>
        <w:widowControl/>
        <w:suppressLineNumbers w:val="0"/>
        <w:kinsoku/>
        <w:wordWrap/>
        <w:overflowPunct/>
        <w:topLinePunct w:val="0"/>
        <w:autoSpaceDE/>
        <w:autoSpaceDN/>
        <w:bidi w:val="0"/>
        <w:adjustRightInd/>
        <w:snapToGrid/>
        <w:spacing w:before="168" w:beforeAutospacing="0" w:after="168" w:afterAutospacing="0"/>
        <w:ind w:left="0" w:right="0" w:firstLine="640" w:firstLineChars="200"/>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i w:val="0"/>
          <w:iCs w:val="0"/>
          <w:caps w:val="0"/>
          <w:color w:val="333333"/>
          <w:spacing w:val="0"/>
          <w:sz w:val="32"/>
          <w:szCs w:val="32"/>
        </w:rPr>
        <w:t>这一变化有明确的政策背景。2026年4月，中央网信办启动“清朗·整治短视频领域恶意营销乱象”专项行动，明确将“恶意虚假摆拍”“违背公序良俗”列为重点打击对象，各地公安同步推进配套执法，四川“治网2026”百日攻坚已侦办相关案件141起。从行政处罚到刑事追责，释放的信号非常清晰：当摆拍行为从虚构悲情升级到公然践踏公序良俗、复刻封建私刑，其社会危害性已超出“不当营销”范畴，进入“扰乱公共秩序”的刑法评价领域。</w:t>
      </w:r>
    </w:p>
    <w:p w14:paraId="63061774">
      <w:pPr>
        <w:pStyle w:val="4"/>
        <w:keepNext w:val="0"/>
        <w:keepLines w:val="0"/>
        <w:pageBreakBefore w:val="0"/>
        <w:widowControl/>
        <w:suppressLineNumbers w:val="0"/>
        <w:kinsoku/>
        <w:wordWrap/>
        <w:overflowPunct/>
        <w:topLinePunct w:val="0"/>
        <w:autoSpaceDE/>
        <w:autoSpaceDN/>
        <w:bidi w:val="0"/>
        <w:adjustRightInd/>
        <w:snapToGrid/>
        <w:spacing w:before="168" w:beforeAutospacing="0" w:after="168" w:afterAutospacing="0"/>
        <w:ind w:left="0" w:right="0" w:firstLine="640" w:firstLineChars="200"/>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i w:val="0"/>
          <w:iCs w:val="0"/>
          <w:caps w:val="0"/>
          <w:color w:val="333333"/>
          <w:spacing w:val="0"/>
          <w:sz w:val="32"/>
          <w:szCs w:val="32"/>
        </w:rPr>
        <w:t>但需要警惕的是，单靠法律惩戒的末端震慑，难以从根本上改变摆拍产业链的激励机制。涉事视频在多个平台传播并引发围观，说明平台的内容审核与流量分发机制在此类内容的扩散中起到了推波助澜的作用。如果算法的底层逻辑仍然是“越离谱越推荐”，那么每一次刑拘之后，仍然会有人铤而走险。</w:t>
      </w:r>
    </w:p>
    <w:p w14:paraId="31D93128">
      <w:pPr>
        <w:pStyle w:val="4"/>
        <w:keepNext w:val="0"/>
        <w:keepLines w:val="0"/>
        <w:pageBreakBefore w:val="0"/>
        <w:widowControl/>
        <w:suppressLineNumbers w:val="0"/>
        <w:kinsoku/>
        <w:wordWrap/>
        <w:overflowPunct/>
        <w:topLinePunct w:val="0"/>
        <w:autoSpaceDE/>
        <w:autoSpaceDN/>
        <w:bidi w:val="0"/>
        <w:adjustRightInd/>
        <w:snapToGrid/>
        <w:spacing w:before="168" w:beforeAutospacing="0" w:after="168" w:afterAutospacing="0"/>
        <w:ind w:left="0" w:right="0" w:firstLine="640" w:firstLineChars="200"/>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i w:val="0"/>
          <w:iCs w:val="0"/>
          <w:caps w:val="0"/>
          <w:color w:val="333333"/>
          <w:spacing w:val="0"/>
          <w:sz w:val="32"/>
          <w:szCs w:val="32"/>
        </w:rPr>
        <w:t>分析认为，“铁笼游街”摆拍事件之所以引发全网愤慨，不仅因为画面本身令人不适，更因为它以一种极端的方式暴露了流量经济的深层病灶：在某些创作者和平台算法的逻辑里，公序良俗的底线已不再是天然约束，而只是一个可以被计算、被交易的“风险参数”。</w:t>
      </w:r>
    </w:p>
    <w:p w14:paraId="310CAE59">
      <w:pPr>
        <w:pStyle w:val="4"/>
        <w:keepNext w:val="0"/>
        <w:keepLines w:val="0"/>
        <w:pageBreakBefore w:val="0"/>
        <w:widowControl/>
        <w:suppressLineNumbers w:val="0"/>
        <w:kinsoku/>
        <w:wordWrap/>
        <w:overflowPunct/>
        <w:topLinePunct w:val="0"/>
        <w:autoSpaceDE/>
        <w:autoSpaceDN/>
        <w:bidi w:val="0"/>
        <w:adjustRightInd/>
        <w:snapToGrid/>
        <w:spacing w:before="168" w:beforeAutospacing="0" w:after="168" w:afterAutospacing="0"/>
        <w:ind w:left="0" w:right="0" w:firstLine="640" w:firstLineChars="200"/>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i w:val="0"/>
          <w:iCs w:val="0"/>
          <w:caps w:val="0"/>
          <w:color w:val="333333"/>
          <w:spacing w:val="0"/>
          <w:sz w:val="32"/>
          <w:szCs w:val="32"/>
        </w:rPr>
        <w:t>这不是个别人的道德缺失，而是一个产业机制的系统性问题。只要流量仍然是唯一有效的变现货币，只要争议仍然是获取流量最廉价的手段，“反向竞劣”就不会因为个案被查处而消失。真正需要被关进笼子里的，不是那些配合摆拍的演员，而是一套鼓励“越出格越受益”的流量分配机制。</w:t>
      </w:r>
    </w:p>
    <w:p w14:paraId="1D16A6A4">
      <w:pPr>
        <w:pStyle w:val="4"/>
        <w:keepNext w:val="0"/>
        <w:keepLines w:val="0"/>
        <w:pageBreakBefore w:val="0"/>
        <w:widowControl/>
        <w:suppressLineNumbers w:val="0"/>
        <w:kinsoku/>
        <w:wordWrap/>
        <w:overflowPunct/>
        <w:topLinePunct w:val="0"/>
        <w:autoSpaceDE/>
        <w:autoSpaceDN/>
        <w:bidi w:val="0"/>
        <w:adjustRightInd/>
        <w:snapToGrid/>
        <w:spacing w:before="168" w:beforeAutospacing="0" w:after="168" w:afterAutospacing="0"/>
        <w:ind w:left="0" w:right="0" w:firstLine="640" w:firstLineChars="200"/>
        <w:textAlignment w:val="auto"/>
        <w:rPr>
          <w:rFonts w:hint="eastAsia" w:ascii="仿宋_GB2312" w:hAnsi="仿宋_GB2312" w:eastAsia="仿宋_GB2312" w:cs="仿宋_GB2312"/>
          <w:i w:val="0"/>
          <w:iCs w:val="0"/>
          <w:caps w:val="0"/>
          <w:color w:val="333333"/>
          <w:spacing w:val="0"/>
          <w:sz w:val="32"/>
          <w:szCs w:val="32"/>
        </w:rPr>
      </w:pPr>
      <w:r>
        <w:rPr>
          <w:rFonts w:hint="eastAsia" w:ascii="仿宋_GB2312" w:hAnsi="仿宋_GB2312" w:eastAsia="仿宋_GB2312" w:cs="仿宋_GB2312"/>
          <w:i w:val="0"/>
          <w:iCs w:val="0"/>
          <w:caps w:val="0"/>
          <w:color w:val="333333"/>
          <w:spacing w:val="0"/>
          <w:sz w:val="32"/>
          <w:szCs w:val="32"/>
        </w:rPr>
        <w:t>从行政拘留到刑事拘留，法律层面的震慑正在加码。但要让此类闹剧不再重演，还需要平台将内容审核从“事后下架”变为“事前拦截”，从“舆论倒逼”变为“制度预防”。当算法不再奖励恶臭，自然没有人再去制造恶臭。</w:t>
      </w:r>
    </w:p>
    <w:p w14:paraId="7859DAA3">
      <w:pPr>
        <w:pStyle w:val="4"/>
        <w:keepNext w:val="0"/>
        <w:keepLines w:val="0"/>
        <w:pageBreakBefore w:val="0"/>
        <w:widowControl/>
        <w:suppressLineNumbers w:val="0"/>
        <w:kinsoku/>
        <w:wordWrap/>
        <w:overflowPunct/>
        <w:topLinePunct w:val="0"/>
        <w:autoSpaceDE/>
        <w:autoSpaceDN/>
        <w:bidi w:val="0"/>
        <w:adjustRightInd/>
        <w:snapToGrid/>
        <w:spacing w:before="168" w:beforeAutospacing="0" w:after="168" w:afterAutospacing="0"/>
        <w:ind w:left="0" w:right="0" w:firstLine="640" w:firstLineChars="200"/>
        <w:textAlignment w:val="auto"/>
        <w:rPr>
          <w:rFonts w:hint="eastAsia" w:ascii="仿宋_GB2312" w:hAnsi="仿宋_GB2312" w:eastAsia="仿宋_GB2312" w:cs="仿宋_GB2312"/>
          <w:sz w:val="32"/>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107613"/>
    <w:rsid w:val="19D807F3"/>
    <w:rsid w:val="59107613"/>
    <w:rsid w:val="6B493E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rPr>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1976</Words>
  <Characters>2004</Characters>
  <Lines>0</Lines>
  <Paragraphs>0</Paragraphs>
  <TotalTime>7</TotalTime>
  <ScaleCrop>false</ScaleCrop>
  <LinksUpToDate>false</LinksUpToDate>
  <CharactersWithSpaces>2004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2026-06-26T08:54:00Z</dcterms:created>
  <dc:creator>xjh</dc:creator>
  <cp:lastModifiedBy>xjh</cp:lastModifiedBy>
  <dcterms:modified xsi:type="dcterms:W3CDTF">2026-06-26T09:13:56Z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78DD45A4784B4B328D1D29FB86CE7A87_11</vt:lpwstr>
  </property>
  <property fmtid="{D5CDD505-2E9C-101B-9397-08002B2CF9AE}" pid="4" name="KSOTemplateDocerSaveRecord">
    <vt:lpwstr>eyJoZGlkIjoiZjJhZTA4MmMwZWExOTRjZTM3OTc3MWM0YTY0ZmJmYWMiLCJ1c2VySWQiOiIxMjcyODY3OTU0In0=</vt:lpwstr>
  </property>
</Properties>
</file>