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27F471">
      <w:pPr>
        <w:pStyle w:val="2"/>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line="560" w:lineRule="atLeast"/>
        <w:ind w:left="0" w:firstLine="0"/>
        <w:jc w:val="center"/>
        <w:textAlignment w:val="auto"/>
        <w:rPr>
          <w:rFonts w:hint="eastAsia" w:ascii="方正大标宋简体" w:hAnsi="方正大标宋简体" w:eastAsia="方正大标宋简体" w:cs="方正大标宋简体"/>
          <w:b w:val="0"/>
          <w:bCs/>
          <w:i w:val="0"/>
          <w:iCs w:val="0"/>
          <w:caps w:val="0"/>
          <w:strike w:val="0"/>
          <w:color w:val="auto"/>
          <w:spacing w:val="0"/>
          <w:sz w:val="36"/>
          <w:szCs w:val="36"/>
          <w:u w:val="none"/>
        </w:rPr>
      </w:pPr>
      <w:r>
        <w:rPr>
          <w:rFonts w:hint="eastAsia" w:ascii="方正大标宋简体" w:hAnsi="方正大标宋简体" w:eastAsia="方正大标宋简体" w:cs="方正大标宋简体"/>
          <w:b w:val="0"/>
          <w:bCs/>
          <w:i w:val="0"/>
          <w:iCs w:val="0"/>
          <w:caps w:val="0"/>
          <w:strike w:val="0"/>
          <w:color w:val="auto"/>
          <w:spacing w:val="0"/>
          <w:sz w:val="44"/>
          <w:szCs w:val="44"/>
          <w:u w:val="none"/>
        </w:rPr>
        <w:t>当前文化安全面临的风险隐患及应对建议</w:t>
      </w:r>
    </w:p>
    <w:p w14:paraId="32863E05">
      <w:pPr>
        <w:rPr>
          <w:rFonts w:hint="eastAsia"/>
        </w:rPr>
      </w:pPr>
    </w:p>
    <w:p w14:paraId="2C8B7B1F">
      <w:pPr>
        <w:pStyle w:val="6"/>
        <w:keepNext w:val="0"/>
        <w:keepLines w:val="0"/>
        <w:pageBreakBefore w:val="0"/>
        <w:widowControl w:val="0"/>
        <w:suppressLineNumbers w:val="0"/>
        <w:kinsoku/>
        <w:wordWrap/>
        <w:overflowPunct/>
        <w:topLinePunct w:val="0"/>
        <w:autoSpaceDE/>
        <w:autoSpaceDN/>
        <w:bidi w:val="0"/>
        <w:adjustRightInd/>
        <w:snapToGrid/>
        <w:spacing w:beforeAutospacing="0" w:afterAutospacing="0" w:line="560" w:lineRule="atLeast"/>
        <w:ind w:left="0" w:leftChars="0" w:right="0" w:firstLine="640" w:firstLineChars="200"/>
        <w:jc w:val="both"/>
        <w:textAlignment w:val="auto"/>
        <w:rPr>
          <w:rFonts w:hint="eastAsia" w:ascii="仿宋_GB2312" w:hAnsi="仿宋_GB2312" w:eastAsia="仿宋_GB2312" w:cs="仿宋_GB2312"/>
          <w:b w:val="0"/>
          <w:i w:val="0"/>
          <w:iCs w:val="0"/>
          <w:caps w:val="0"/>
          <w:strike w:val="0"/>
          <w:color w:val="auto"/>
          <w:spacing w:val="0"/>
          <w:sz w:val="32"/>
          <w:szCs w:val="32"/>
          <w:u w:val="none"/>
        </w:rPr>
      </w:pPr>
      <w:r>
        <w:rPr>
          <w:rFonts w:hint="eastAsia" w:ascii="仿宋_GB2312" w:hAnsi="仿宋_GB2312" w:eastAsia="仿宋_GB2312" w:cs="仿宋_GB2312"/>
          <w:b w:val="0"/>
          <w:i w:val="0"/>
          <w:iCs w:val="0"/>
          <w:caps w:val="0"/>
          <w:strike w:val="0"/>
          <w:color w:val="auto"/>
          <w:spacing w:val="0"/>
          <w:sz w:val="32"/>
          <w:szCs w:val="32"/>
          <w:u w:val="none"/>
        </w:rPr>
        <w:t>2026年上半年，文化安全领域攻防态势加速演变。境外势力对华认知战从传统舆论抹黑向AI驱动的内容生成、亚文化圈层渗透、商业营销植入和技术链条夹带等多方向扩展；国内网络内容生态中历史虚无主义、低质信息泛滥和经典作品被解构式消费构成意识形态防御的薄弱面。海淀区高校院所密集、互联网平台集聚、AI企业集中、文化遗产丰富，是文化安全风险聚合发酵的前沿区域。</w:t>
      </w:r>
    </w:p>
    <w:p w14:paraId="21FCEECD">
      <w:pPr>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line="560" w:lineRule="atLeast"/>
        <w:ind w:left="0" w:leftChars="0" w:right="0" w:rightChars="0" w:firstLine="643" w:firstLineChars="200"/>
        <w:jc w:val="both"/>
        <w:textAlignment w:val="auto"/>
        <w:rPr>
          <w:rFonts w:hint="eastAsia" w:ascii="黑体" w:hAnsi="黑体" w:eastAsia="黑体" w:cs="黑体"/>
          <w:b/>
          <w:i w:val="0"/>
          <w:iCs w:val="0"/>
          <w:caps w:val="0"/>
          <w:strike w:val="0"/>
          <w:color w:val="auto"/>
          <w:spacing w:val="0"/>
          <w:kern w:val="2"/>
          <w:sz w:val="32"/>
          <w:szCs w:val="32"/>
          <w:u w:val="none"/>
          <w:lang w:val="en-US" w:eastAsia="zh-CN" w:bidi="ar-SA"/>
        </w:rPr>
      </w:pPr>
      <w:r>
        <w:rPr>
          <w:rFonts w:hint="eastAsia" w:ascii="黑体" w:hAnsi="黑体" w:eastAsia="黑体" w:cs="黑体"/>
          <w:b/>
          <w:i w:val="0"/>
          <w:iCs w:val="0"/>
          <w:caps w:val="0"/>
          <w:strike w:val="0"/>
          <w:color w:val="auto"/>
          <w:spacing w:val="0"/>
          <w:kern w:val="2"/>
          <w:sz w:val="32"/>
          <w:szCs w:val="32"/>
          <w:u w:val="none"/>
          <w:lang w:val="en-US" w:eastAsia="zh-CN" w:bidi="ar-SA"/>
        </w:rPr>
        <w:t>一、AI技术成为境外势力对华认知战的核心工具</w:t>
      </w:r>
    </w:p>
    <w:p w14:paraId="2461503F">
      <w:pPr>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line="560" w:lineRule="atLeast"/>
        <w:ind w:left="0" w:leftChars="0" w:right="0" w:rightChars="0" w:firstLine="640" w:firstLineChars="200"/>
        <w:jc w:val="both"/>
        <w:textAlignment w:val="auto"/>
        <w:rPr>
          <w:rFonts w:hint="eastAsia" w:ascii="仿宋_GB2312" w:hAnsi="仿宋_GB2312" w:eastAsia="仿宋_GB2312" w:cs="仿宋_GB2312"/>
          <w:b w:val="0"/>
          <w:i w:val="0"/>
          <w:iCs w:val="0"/>
          <w:caps w:val="0"/>
          <w:strike w:val="0"/>
          <w:color w:val="auto"/>
          <w:spacing w:val="0"/>
          <w:kern w:val="2"/>
          <w:sz w:val="32"/>
          <w:szCs w:val="32"/>
          <w:u w:val="none"/>
          <w:lang w:val="en-US" w:eastAsia="zh-CN" w:bidi="ar-SA"/>
        </w:rPr>
      </w:pPr>
      <w:r>
        <w:rPr>
          <w:rFonts w:hint="eastAsia" w:ascii="仿宋_GB2312" w:hAnsi="仿宋_GB2312" w:eastAsia="仿宋_GB2312" w:cs="仿宋_GB2312"/>
          <w:b w:val="0"/>
          <w:i w:val="0"/>
          <w:iCs w:val="0"/>
          <w:caps w:val="0"/>
          <w:strike w:val="0"/>
          <w:color w:val="auto"/>
          <w:spacing w:val="0"/>
          <w:kern w:val="2"/>
          <w:sz w:val="32"/>
          <w:szCs w:val="32"/>
          <w:u w:val="none"/>
          <w:lang w:val="en-US" w:eastAsia="zh-CN" w:bidi="ar-SA"/>
        </w:rPr>
        <w:t>AI技术正深刻改变文化安全领域的攻防形态，尤其是AI虚假信息的跨境传播中，境外势力的组织化操纵特征日益凸显。澎湃新闻5月对“中国西藏强拆寺庙”AI视频溯源发现，该视频经历中文到日语再回流中文的跨语种流转，中文和日文圈层中多个内容枢纽账号充当首发节点，下游账号以不显示转发关系的方式复制扩散，形成“少数节点写、多数节点抄”的协同传播链条。此外，今年5月日本《朝日新闻》曝光众包平台CrowdWorks长期付费招募网民利用AI批量生成“中国人不文明”“南京大屠杀是谎言”等抹黑内容，背后是日本外务省自2015年以来累计超560亿日元的对华舆论抹黑预算。AI生成加矩阵化协同发布已成为境外势力对华认知战的标准操作手法。海淀区拥有字节跳动、智谱等头部AI企业，需在AI大模型训练数据治理和生成内容安全审核方面发挥前沿引导作用。</w:t>
      </w:r>
    </w:p>
    <w:p w14:paraId="127B2812">
      <w:pPr>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line="560" w:lineRule="atLeast"/>
        <w:ind w:left="0" w:leftChars="0" w:right="0" w:rightChars="0" w:firstLine="643" w:firstLineChars="200"/>
        <w:jc w:val="both"/>
        <w:textAlignment w:val="auto"/>
        <w:rPr>
          <w:rFonts w:hint="eastAsia" w:ascii="仿宋_GB2312" w:hAnsi="仿宋_GB2312" w:eastAsia="仿宋_GB2312" w:cs="仿宋_GB2312"/>
          <w:b/>
          <w:i w:val="0"/>
          <w:iCs w:val="0"/>
          <w:caps w:val="0"/>
          <w:strike w:val="0"/>
          <w:color w:val="auto"/>
          <w:spacing w:val="0"/>
          <w:kern w:val="2"/>
          <w:sz w:val="32"/>
          <w:szCs w:val="32"/>
          <w:u w:val="none"/>
          <w:lang w:val="en-US" w:eastAsia="zh-CN" w:bidi="ar-SA"/>
        </w:rPr>
      </w:pPr>
      <w:r>
        <w:rPr>
          <w:rFonts w:hint="eastAsia" w:ascii="黑体" w:hAnsi="黑体" w:eastAsia="黑体" w:cs="黑体"/>
          <w:b/>
          <w:i w:val="0"/>
          <w:iCs w:val="0"/>
          <w:caps w:val="0"/>
          <w:strike w:val="0"/>
          <w:color w:val="auto"/>
          <w:spacing w:val="0"/>
          <w:kern w:val="2"/>
          <w:sz w:val="32"/>
          <w:szCs w:val="32"/>
          <w:u w:val="none"/>
          <w:lang w:val="en-US" w:eastAsia="zh-CN" w:bidi="ar-SA"/>
        </w:rPr>
        <w:t>二、境外势力资助网红系统性渗透青年群体</w:t>
      </w:r>
    </w:p>
    <w:p w14:paraId="472D1B88">
      <w:pPr>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line="560" w:lineRule="atLeast"/>
        <w:ind w:left="0" w:leftChars="0" w:right="0" w:rightChars="0" w:firstLine="640" w:firstLineChars="200"/>
        <w:jc w:val="both"/>
        <w:textAlignment w:val="auto"/>
        <w:rPr>
          <w:rFonts w:hint="eastAsia" w:ascii="仿宋_GB2312" w:hAnsi="仿宋_GB2312" w:eastAsia="仿宋_GB2312" w:cs="仿宋_GB2312"/>
          <w:b w:val="0"/>
          <w:i w:val="0"/>
          <w:iCs w:val="0"/>
          <w:caps w:val="0"/>
          <w:strike w:val="0"/>
          <w:color w:val="auto"/>
          <w:spacing w:val="0"/>
          <w:kern w:val="2"/>
          <w:sz w:val="32"/>
          <w:szCs w:val="32"/>
          <w:u w:val="none"/>
          <w:lang w:val="en-US" w:eastAsia="zh-CN" w:bidi="ar-SA"/>
        </w:rPr>
      </w:pPr>
      <w:r>
        <w:rPr>
          <w:rFonts w:hint="eastAsia" w:ascii="仿宋_GB2312" w:hAnsi="仿宋_GB2312" w:eastAsia="仿宋_GB2312" w:cs="仿宋_GB2312"/>
          <w:b w:val="0"/>
          <w:i w:val="0"/>
          <w:iCs w:val="0"/>
          <w:caps w:val="0"/>
          <w:strike w:val="0"/>
          <w:color w:val="auto"/>
          <w:spacing w:val="0"/>
          <w:kern w:val="2"/>
          <w:sz w:val="32"/>
          <w:szCs w:val="32"/>
          <w:u w:val="none"/>
          <w:lang w:val="en-US" w:eastAsia="zh-CN" w:bidi="ar-SA"/>
        </w:rPr>
        <w:t>境外势力正通过资助网红、扶持特定叙事、操纵圈层舆论等方式系统性渗透中国青年群体。4月国家安全部披露，某境外组织大力资助“躺平网红”，批量生产“躺平即正义”等短视频开展“躺平洗脑”，同时资助反华媒体和智库炮制“奋斗=被剥削”等叙事，刻意放大社会焦虑，将个体困境上升为群体对立。与渗透并行的是国内网络内容生态乱象丛生：微短剧乱象、“数字泔水”泛滥、游戏内容触碰历史红线等问题，长期接触此类内容的受众历史敬畏感淡薄、对低质刺激性内容依赖度上升。辨别力下降、价值观松动的受众，恰恰是境外渗透最理想的靶标。海淀区在校大学生基数庞大，是境外势力青年意识形态渗透的重点目标区域，该群体信息获取高度依赖社交平台和算法推荐、圈层文化认同感强，渗透策略更易奏效，需要重点关注和前置防范。</w:t>
      </w:r>
    </w:p>
    <w:p w14:paraId="5843BF09">
      <w:pPr>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line="560" w:lineRule="atLeast"/>
        <w:ind w:left="0" w:leftChars="0" w:right="0" w:rightChars="0" w:firstLine="643" w:firstLineChars="200"/>
        <w:jc w:val="both"/>
        <w:textAlignment w:val="auto"/>
        <w:rPr>
          <w:rFonts w:hint="eastAsia" w:ascii="黑体" w:hAnsi="黑体" w:eastAsia="黑体" w:cs="黑体"/>
          <w:b/>
          <w:i w:val="0"/>
          <w:iCs w:val="0"/>
          <w:caps w:val="0"/>
          <w:strike w:val="0"/>
          <w:color w:val="auto"/>
          <w:spacing w:val="0"/>
          <w:kern w:val="2"/>
          <w:sz w:val="32"/>
          <w:szCs w:val="32"/>
          <w:u w:val="none"/>
          <w:lang w:val="en-US" w:eastAsia="zh-CN" w:bidi="ar-SA"/>
        </w:rPr>
      </w:pPr>
      <w:r>
        <w:rPr>
          <w:rFonts w:hint="eastAsia" w:ascii="黑体" w:hAnsi="黑体" w:eastAsia="黑体" w:cs="黑体"/>
          <w:b/>
          <w:i w:val="0"/>
          <w:iCs w:val="0"/>
          <w:caps w:val="0"/>
          <w:strike w:val="0"/>
          <w:color w:val="auto"/>
          <w:spacing w:val="0"/>
          <w:kern w:val="2"/>
          <w:sz w:val="32"/>
          <w:szCs w:val="32"/>
          <w:u w:val="none"/>
          <w:lang w:val="en-US" w:eastAsia="zh-CN" w:bidi="ar-SA"/>
        </w:rPr>
        <w:t>三、跨国品牌文化营销屡踩红线考验首都文化空间治理</w:t>
      </w:r>
    </w:p>
    <w:p w14:paraId="15C72DDE">
      <w:pPr>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line="560" w:lineRule="atLeast"/>
        <w:ind w:left="0" w:leftChars="0" w:right="0" w:rightChars="0" w:firstLine="640" w:firstLineChars="200"/>
        <w:jc w:val="both"/>
        <w:textAlignment w:val="auto"/>
        <w:rPr>
          <w:rFonts w:hint="eastAsia" w:ascii="仿宋_GB2312" w:hAnsi="仿宋_GB2312" w:eastAsia="仿宋_GB2312" w:cs="仿宋_GB2312"/>
          <w:b w:val="0"/>
          <w:i w:val="0"/>
          <w:iCs w:val="0"/>
          <w:caps w:val="0"/>
          <w:strike w:val="0"/>
          <w:color w:val="auto"/>
          <w:spacing w:val="0"/>
          <w:kern w:val="2"/>
          <w:sz w:val="32"/>
          <w:szCs w:val="32"/>
          <w:u w:val="none"/>
          <w:lang w:val="en-US" w:eastAsia="zh-CN" w:bidi="ar-SA"/>
        </w:rPr>
      </w:pPr>
      <w:r>
        <w:rPr>
          <w:rFonts w:hint="eastAsia" w:ascii="仿宋_GB2312" w:hAnsi="仿宋_GB2312" w:eastAsia="仿宋_GB2312" w:cs="仿宋_GB2312"/>
          <w:b w:val="0"/>
          <w:i w:val="0"/>
          <w:iCs w:val="0"/>
          <w:caps w:val="0"/>
          <w:strike w:val="0"/>
          <w:color w:val="auto"/>
          <w:spacing w:val="0"/>
          <w:kern w:val="2"/>
          <w:sz w:val="32"/>
          <w:szCs w:val="32"/>
          <w:u w:val="none"/>
          <w:lang w:val="en-US" w:eastAsia="zh-CN" w:bidi="ar-SA"/>
        </w:rPr>
        <w:t>跨国品牌在中国文化地标和公共空间开展营销活动时，频繁出现文化符号混淆、历史记忆被轻慢的问题。例如，5月30日，加拿大运动品牌lululemon在北京黄花城水长城举办“瑜见长城”瑜伽嘉年华，品牌大使朱一龙参与击鼓表演，对外宣传“擂响中华大鼓”。6月上旬起多位打击乐专业人士指出现场鼓具为日本太鼓而非中国传统大鼓。6月16日lululemon致歉并下架全部宣传内容。长城承载深厚民族历史记忆，在此类场景中使用日式器物，刺痛了公众民族情感。近年D&amp;G“起筷吃饭”广告、Versace和Coach将港澳台列为“国家”、始祖鸟在西藏喜马拉雅山脉燃放烟花等事件接连发生，反映出部分跨国品牌对中国文化符号和历史语境缺乏尊重，现行活动审批和管理机制对此缺乏有效约束。海淀区颐和园、圆明园等文化遗产密集，商业文化活动频繁，需加强对活动的意识形态审核。</w:t>
      </w:r>
    </w:p>
    <w:p w14:paraId="650B12B9">
      <w:pPr>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line="560" w:lineRule="atLeast"/>
        <w:ind w:left="0" w:leftChars="0" w:right="0" w:rightChars="0" w:firstLine="643" w:firstLineChars="200"/>
        <w:jc w:val="both"/>
        <w:textAlignment w:val="auto"/>
        <w:rPr>
          <w:rFonts w:hint="eastAsia" w:ascii="黑体" w:hAnsi="黑体" w:eastAsia="黑体" w:cs="黑体"/>
          <w:b/>
          <w:i w:val="0"/>
          <w:iCs w:val="0"/>
          <w:caps w:val="0"/>
          <w:strike w:val="0"/>
          <w:color w:val="auto"/>
          <w:spacing w:val="0"/>
          <w:kern w:val="2"/>
          <w:sz w:val="32"/>
          <w:szCs w:val="32"/>
          <w:u w:val="none"/>
          <w:lang w:val="en-US" w:eastAsia="zh-CN" w:bidi="ar-SA"/>
        </w:rPr>
      </w:pPr>
      <w:r>
        <w:rPr>
          <w:rFonts w:hint="eastAsia" w:ascii="黑体" w:hAnsi="黑体" w:eastAsia="黑体" w:cs="黑体"/>
          <w:b/>
          <w:i w:val="0"/>
          <w:iCs w:val="0"/>
          <w:caps w:val="0"/>
          <w:strike w:val="0"/>
          <w:color w:val="auto"/>
          <w:spacing w:val="0"/>
          <w:kern w:val="2"/>
          <w:sz w:val="32"/>
          <w:szCs w:val="32"/>
          <w:u w:val="none"/>
          <w:lang w:val="en-US" w:eastAsia="zh-CN" w:bidi="ar-SA"/>
        </w:rPr>
        <w:t>四、游戏动漫成为境外势力价值观渗透的重要渠道</w:t>
      </w:r>
    </w:p>
    <w:p w14:paraId="7083314C">
      <w:pPr>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line="560" w:lineRule="atLeast"/>
        <w:ind w:left="0" w:leftChars="0" w:right="0" w:rightChars="0" w:firstLine="640" w:firstLineChars="200"/>
        <w:jc w:val="both"/>
        <w:textAlignment w:val="auto"/>
        <w:rPr>
          <w:rFonts w:hint="eastAsia" w:ascii="仿宋_GB2312" w:hAnsi="仿宋_GB2312" w:eastAsia="仿宋_GB2312" w:cs="仿宋_GB2312"/>
          <w:b w:val="0"/>
          <w:i w:val="0"/>
          <w:iCs w:val="0"/>
          <w:caps w:val="0"/>
          <w:strike w:val="0"/>
          <w:color w:val="auto"/>
          <w:spacing w:val="0"/>
          <w:kern w:val="2"/>
          <w:sz w:val="32"/>
          <w:szCs w:val="32"/>
          <w:u w:val="none"/>
          <w:lang w:val="en-US" w:eastAsia="zh-CN" w:bidi="ar-SA"/>
        </w:rPr>
      </w:pPr>
      <w:r>
        <w:rPr>
          <w:rFonts w:hint="eastAsia" w:ascii="仿宋_GB2312" w:hAnsi="仿宋_GB2312" w:eastAsia="仿宋_GB2312" w:cs="仿宋_GB2312"/>
          <w:b w:val="0"/>
          <w:i w:val="0"/>
          <w:iCs w:val="0"/>
          <w:caps w:val="0"/>
          <w:strike w:val="0"/>
          <w:color w:val="auto"/>
          <w:spacing w:val="0"/>
          <w:kern w:val="2"/>
          <w:sz w:val="32"/>
          <w:szCs w:val="32"/>
          <w:u w:val="none"/>
          <w:lang w:val="en-US" w:eastAsia="zh-CN" w:bidi="ar-SA"/>
        </w:rPr>
        <w:t>6月下旬，乙女游戏《恋与深空》因将游戏内“人体试药实验档案编号”设为“A-0731”引发舆论风暴，该编号被指与侵华日军731部队影射关联，配合“引狼入室”文案将女性安全焦虑娱乐化。2月日本动画《名侦探柯南》因与曾深陷辱华争议的漫画推出联动剧情引发关注，该漫画此前被指歪曲侵华历史、美化战犯形象。《环球时报》指出，日本国内错误史观正借助动漫游戏等亚文化渠道隐蔽输出，通过娱乐化、故事化的软性表达降低受众心理防备，部分作品解构战争元素、将战犯形象英雄化，容易让青少年模糊历史真相。中国泛二次元用户已超5亿，Z世代占比达95%。游戏动漫领域渗透具有隐蔽性和长效性，价值观在娱乐消费中潜移默化被塑造。海淀区高校学生是游戏和二次元消费主力，高校周边也是“谷子”等周边产品集中消费区域，该领域渗透风险需纳入高校意识形态工作和校园周边文化环境治理范围。</w:t>
      </w:r>
    </w:p>
    <w:p w14:paraId="06FD9932">
      <w:pPr>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line="560" w:lineRule="atLeast"/>
        <w:ind w:left="0" w:leftChars="0" w:right="0" w:rightChars="0" w:firstLine="643" w:firstLineChars="200"/>
        <w:jc w:val="both"/>
        <w:textAlignment w:val="auto"/>
        <w:rPr>
          <w:rFonts w:hint="eastAsia" w:ascii="仿宋_GB2312" w:hAnsi="仿宋_GB2312" w:eastAsia="仿宋_GB2312" w:cs="仿宋_GB2312"/>
          <w:b/>
          <w:i w:val="0"/>
          <w:iCs w:val="0"/>
          <w:caps w:val="0"/>
          <w:strike w:val="0"/>
          <w:color w:val="auto"/>
          <w:spacing w:val="0"/>
          <w:kern w:val="2"/>
          <w:sz w:val="32"/>
          <w:szCs w:val="32"/>
          <w:u w:val="none"/>
          <w:lang w:val="en-US" w:eastAsia="zh-CN" w:bidi="ar-SA"/>
        </w:rPr>
      </w:pPr>
      <w:r>
        <w:rPr>
          <w:rFonts w:hint="eastAsia" w:ascii="黑体" w:hAnsi="黑体" w:eastAsia="黑体" w:cs="黑体"/>
          <w:b/>
          <w:i w:val="0"/>
          <w:iCs w:val="0"/>
          <w:caps w:val="0"/>
          <w:strike w:val="0"/>
          <w:color w:val="auto"/>
          <w:spacing w:val="0"/>
          <w:kern w:val="2"/>
          <w:sz w:val="32"/>
          <w:szCs w:val="32"/>
          <w:u w:val="none"/>
          <w:lang w:val="en-US" w:eastAsia="zh-CN" w:bidi="ar-SA"/>
        </w:rPr>
        <w:t>五、弹窗广告和非法转播等灰色技术链条加大渗透风险</w:t>
      </w:r>
    </w:p>
    <w:p w14:paraId="4DAD68AB">
      <w:pPr>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line="560" w:lineRule="atLeast"/>
        <w:ind w:left="0" w:leftChars="0" w:right="0" w:rightChars="0" w:firstLine="640" w:firstLineChars="200"/>
        <w:jc w:val="both"/>
        <w:textAlignment w:val="auto"/>
        <w:rPr>
          <w:rFonts w:hint="eastAsia" w:ascii="仿宋_GB2312" w:hAnsi="仿宋_GB2312" w:eastAsia="仿宋_GB2312" w:cs="仿宋_GB2312"/>
          <w:b w:val="0"/>
          <w:i w:val="0"/>
          <w:iCs w:val="0"/>
          <w:caps w:val="0"/>
          <w:strike w:val="0"/>
          <w:color w:val="auto"/>
          <w:spacing w:val="0"/>
          <w:kern w:val="2"/>
          <w:sz w:val="32"/>
          <w:szCs w:val="32"/>
          <w:u w:val="none"/>
          <w:lang w:val="en-US" w:eastAsia="zh-CN" w:bidi="ar-SA"/>
        </w:rPr>
      </w:pPr>
      <w:r>
        <w:rPr>
          <w:rFonts w:hint="eastAsia" w:ascii="仿宋_GB2312" w:hAnsi="仿宋_GB2312" w:eastAsia="仿宋_GB2312" w:cs="仿宋_GB2312"/>
          <w:b w:val="0"/>
          <w:i w:val="0"/>
          <w:iCs w:val="0"/>
          <w:caps w:val="0"/>
          <w:strike w:val="0"/>
          <w:color w:val="auto"/>
          <w:spacing w:val="0"/>
          <w:kern w:val="2"/>
          <w:sz w:val="32"/>
          <w:szCs w:val="32"/>
          <w:u w:val="none"/>
          <w:lang w:val="en-US" w:eastAsia="zh-CN" w:bidi="ar-SA"/>
        </w:rPr>
        <w:t>境外势力对华意识形态渗透的技术手段日益多元，弹窗广告、非法转播、AI翻译和中转工具、第三方插件等构成一条隐蔽的灰色技术链条。据国家安全部近期披露，某平台用户仅需4位口令即可下载非法转播软件，可适配市面上绝大多数智能电视或机顶盒，并利用调试功能绕过系统安全检测；社交平台上有用户以“影视资源分享”为名推广境外反宣内容转播，电商平台卖家将非法转播软件植入“定制版机顶盒”或U盘；境外间谍情报机关还与个别广告公司勾连搭建监控平台，将回传数据与社交媒体信息、高精度定位整合分析，在弹窗广告中夹带反华网站链接绕过监管实现隐蔽投放，用户误触跳转后即暴露于反华信息环境。海淀区集中字节跳动、百度、美团、快手等头部互联网平台，压实平台主体责任对切断灰色技术链条具有重要意义。</w:t>
      </w:r>
    </w:p>
    <w:p w14:paraId="74D96667">
      <w:pPr>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line="560" w:lineRule="atLeast"/>
        <w:ind w:left="0" w:leftChars="0" w:right="0" w:rightChars="0" w:firstLine="643" w:firstLineChars="200"/>
        <w:jc w:val="both"/>
        <w:textAlignment w:val="auto"/>
        <w:rPr>
          <w:rFonts w:hint="eastAsia" w:ascii="黑体" w:hAnsi="黑体" w:eastAsia="黑体" w:cs="黑体"/>
          <w:b/>
          <w:i w:val="0"/>
          <w:iCs w:val="0"/>
          <w:caps w:val="0"/>
          <w:strike w:val="0"/>
          <w:color w:val="auto"/>
          <w:spacing w:val="0"/>
          <w:kern w:val="2"/>
          <w:sz w:val="32"/>
          <w:szCs w:val="32"/>
          <w:u w:val="none"/>
          <w:lang w:val="en-US" w:eastAsia="zh-CN" w:bidi="ar-SA"/>
        </w:rPr>
      </w:pPr>
      <w:r>
        <w:rPr>
          <w:rFonts w:hint="eastAsia" w:ascii="黑体" w:hAnsi="黑体" w:eastAsia="黑体" w:cs="黑体"/>
          <w:b/>
          <w:i w:val="0"/>
          <w:iCs w:val="0"/>
          <w:caps w:val="0"/>
          <w:strike w:val="0"/>
          <w:color w:val="auto"/>
          <w:spacing w:val="0"/>
          <w:kern w:val="2"/>
          <w:sz w:val="32"/>
          <w:szCs w:val="32"/>
          <w:u w:val="none"/>
          <w:lang w:val="en-US" w:eastAsia="zh-CN" w:bidi="ar-SA"/>
        </w:rPr>
        <w:t>六、应对举措建议</w:t>
      </w:r>
    </w:p>
    <w:p w14:paraId="6A421227">
      <w:pPr>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line="560" w:lineRule="atLeast"/>
        <w:ind w:left="0" w:leftChars="0" w:right="0" w:rightChars="0" w:firstLine="640" w:firstLineChars="200"/>
        <w:jc w:val="both"/>
        <w:textAlignment w:val="auto"/>
        <w:rPr>
          <w:rFonts w:hint="eastAsia" w:ascii="仿宋_GB2312" w:hAnsi="仿宋_GB2312" w:eastAsia="仿宋_GB2312" w:cs="仿宋_GB2312"/>
          <w:b w:val="0"/>
          <w:i w:val="0"/>
          <w:iCs w:val="0"/>
          <w:caps w:val="0"/>
          <w:strike w:val="0"/>
          <w:color w:val="auto"/>
          <w:spacing w:val="0"/>
          <w:kern w:val="2"/>
          <w:sz w:val="32"/>
          <w:szCs w:val="32"/>
          <w:u w:val="none"/>
          <w:lang w:val="en-US" w:eastAsia="zh-CN" w:bidi="ar-SA"/>
        </w:rPr>
      </w:pPr>
      <w:r>
        <w:rPr>
          <w:rFonts w:hint="eastAsia" w:ascii="仿宋_GB2312" w:hAnsi="仿宋_GB2312" w:eastAsia="仿宋_GB2312" w:cs="仿宋_GB2312"/>
          <w:b w:val="0"/>
          <w:i w:val="0"/>
          <w:iCs w:val="0"/>
          <w:caps w:val="0"/>
          <w:strike w:val="0"/>
          <w:color w:val="auto"/>
          <w:spacing w:val="0"/>
          <w:kern w:val="2"/>
          <w:sz w:val="32"/>
          <w:szCs w:val="32"/>
          <w:u w:val="none"/>
          <w:lang w:val="en-US" w:eastAsia="zh-CN" w:bidi="ar-SA"/>
        </w:rPr>
        <w:t>当前文化安全风险呈现技术化、圈层化、商业化和平台化交织态势，需在技术链条治理、高校阵地管理、公共空间审核、青少年文化产品治理和舆情处置几个层面协同发力。</w:t>
      </w:r>
    </w:p>
    <w:p w14:paraId="56A30A05">
      <w:pPr>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line="560" w:lineRule="atLeast"/>
        <w:ind w:left="0" w:leftChars="0" w:right="0" w:rightChars="0" w:firstLine="643" w:firstLineChars="200"/>
        <w:jc w:val="both"/>
        <w:textAlignment w:val="auto"/>
        <w:rPr>
          <w:rFonts w:hint="eastAsia" w:ascii="仿宋_GB2312" w:hAnsi="仿宋_GB2312" w:eastAsia="仿宋_GB2312" w:cs="仿宋_GB2312"/>
          <w:b w:val="0"/>
          <w:i w:val="0"/>
          <w:iCs w:val="0"/>
          <w:caps w:val="0"/>
          <w:strike w:val="0"/>
          <w:color w:val="auto"/>
          <w:spacing w:val="0"/>
          <w:kern w:val="2"/>
          <w:sz w:val="32"/>
          <w:szCs w:val="32"/>
          <w:u w:val="none"/>
          <w:lang w:val="en-US" w:eastAsia="zh-CN" w:bidi="ar-SA"/>
        </w:rPr>
      </w:pPr>
      <w:r>
        <w:rPr>
          <w:rFonts w:hint="eastAsia" w:ascii="仿宋_GB2312" w:hAnsi="仿宋_GB2312" w:eastAsia="仿宋_GB2312" w:cs="仿宋_GB2312"/>
          <w:b/>
          <w:bCs/>
          <w:i w:val="0"/>
          <w:iCs w:val="0"/>
          <w:caps w:val="0"/>
          <w:strike w:val="0"/>
          <w:color w:val="auto"/>
          <w:spacing w:val="0"/>
          <w:kern w:val="2"/>
          <w:sz w:val="32"/>
          <w:szCs w:val="32"/>
          <w:u w:val="none"/>
          <w:lang w:val="en-US" w:eastAsia="zh-CN" w:bidi="ar-SA"/>
        </w:rPr>
        <w:t>一是建立AI内容安全跨平台监测和技术链条治理机制。</w:t>
      </w:r>
      <w:r>
        <w:rPr>
          <w:rFonts w:hint="eastAsia" w:ascii="仿宋_GB2312" w:hAnsi="仿宋_GB2312" w:eastAsia="仿宋_GB2312" w:cs="仿宋_GB2312"/>
          <w:b w:val="0"/>
          <w:i w:val="0"/>
          <w:iCs w:val="0"/>
          <w:caps w:val="0"/>
          <w:strike w:val="0"/>
          <w:color w:val="auto"/>
          <w:spacing w:val="0"/>
          <w:kern w:val="2"/>
          <w:sz w:val="32"/>
          <w:szCs w:val="32"/>
          <w:u w:val="none"/>
          <w:lang w:val="en-US" w:eastAsia="zh-CN" w:bidi="ar-SA"/>
        </w:rPr>
        <w:t>协调区内AI头部企业探索建立AI生成内容数字水印和来源标识技术标准，提升对AI虚假信息的溯源能力。推动将文化安全纳入AI模型训练数据审核标准，防范训练语料被恶意投毒，对区内AI企业训练数据来源和生成内容安全机制开展合规检查。同步斩断平台中的灰色渗透通道，对弹窗广告投放环节加强技术巡查，重点排查夹带反华链接的隐蔽投放行为，联合市场监管部门清理电商平台“定制版机顶盒”“破解版软件”等灰色商品售卖链条，压实平台主体责任，将文化安全指标纳入平台算法审核核心参数。</w:t>
      </w:r>
    </w:p>
    <w:p w14:paraId="72966589">
      <w:pPr>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line="560" w:lineRule="atLeast"/>
        <w:ind w:left="0" w:leftChars="0" w:right="0" w:rightChars="0" w:firstLine="643" w:firstLineChars="200"/>
        <w:jc w:val="both"/>
        <w:textAlignment w:val="auto"/>
        <w:rPr>
          <w:rFonts w:hint="eastAsia" w:ascii="仿宋_GB2312" w:hAnsi="仿宋_GB2312" w:eastAsia="仿宋_GB2312" w:cs="仿宋_GB2312"/>
          <w:b w:val="0"/>
          <w:i w:val="0"/>
          <w:iCs w:val="0"/>
          <w:caps w:val="0"/>
          <w:strike w:val="0"/>
          <w:color w:val="auto"/>
          <w:spacing w:val="0"/>
          <w:kern w:val="2"/>
          <w:sz w:val="32"/>
          <w:szCs w:val="32"/>
          <w:u w:val="none"/>
          <w:lang w:val="en-US" w:eastAsia="zh-CN" w:bidi="ar-SA"/>
        </w:rPr>
      </w:pPr>
      <w:r>
        <w:rPr>
          <w:rFonts w:hint="eastAsia" w:ascii="仿宋_GB2312" w:hAnsi="仿宋_GB2312" w:eastAsia="仿宋_GB2312" w:cs="仿宋_GB2312"/>
          <w:b/>
          <w:bCs/>
          <w:i w:val="0"/>
          <w:iCs w:val="0"/>
          <w:caps w:val="0"/>
          <w:strike w:val="0"/>
          <w:color w:val="auto"/>
          <w:spacing w:val="0"/>
          <w:kern w:val="2"/>
          <w:sz w:val="32"/>
          <w:szCs w:val="32"/>
          <w:u w:val="none"/>
          <w:lang w:val="en-US" w:eastAsia="zh-CN" w:bidi="ar-SA"/>
        </w:rPr>
        <w:t>二是加强高校意识形态阵地管理和青年群体媒介素养教育。</w:t>
      </w:r>
      <w:r>
        <w:rPr>
          <w:rFonts w:hint="default" w:ascii="仿宋_GB2312" w:hAnsi="仿宋_GB2312" w:eastAsia="仿宋_GB2312" w:cs="仿宋_GB2312"/>
          <w:b w:val="0"/>
          <w:i w:val="0"/>
          <w:iCs w:val="0"/>
          <w:caps w:val="0"/>
          <w:strike w:val="0"/>
          <w:color w:val="auto"/>
          <w:spacing w:val="0"/>
          <w:kern w:val="2"/>
          <w:sz w:val="32"/>
          <w:szCs w:val="32"/>
          <w:u w:val="none"/>
          <w:lang w:val="en-US" w:eastAsia="zh-CN" w:bidi="ar-SA"/>
        </w:rPr>
        <w:t>警惕境外势力以“学术公益”“文化交流”名义在高校人文社科领域培养亲西方人才梯队，对区内高校涉外学术合作和境外资助项目开展舆情跟踪，对法学、性别研究、民族文化等敏感领域重点监测。将媒介素养和文化安全教育纳入新生入学教育，提升学生对“信息茧房”、躺平话术和认知操控的辨别能力。</w:t>
      </w:r>
    </w:p>
    <w:p w14:paraId="58181BAE">
      <w:pPr>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line="560" w:lineRule="atLeast"/>
        <w:ind w:left="0" w:leftChars="0" w:right="0" w:rightChars="0" w:firstLine="643" w:firstLineChars="200"/>
        <w:jc w:val="both"/>
        <w:textAlignment w:val="auto"/>
        <w:rPr>
          <w:rFonts w:hint="eastAsia" w:ascii="仿宋_GB2312" w:hAnsi="仿宋_GB2312" w:eastAsia="仿宋_GB2312" w:cs="仿宋_GB2312"/>
          <w:b w:val="0"/>
          <w:i w:val="0"/>
          <w:iCs w:val="0"/>
          <w:caps w:val="0"/>
          <w:strike w:val="0"/>
          <w:color w:val="auto"/>
          <w:spacing w:val="0"/>
          <w:kern w:val="2"/>
          <w:sz w:val="32"/>
          <w:szCs w:val="32"/>
          <w:u w:val="none"/>
          <w:lang w:val="en-US" w:eastAsia="zh-CN" w:bidi="ar-SA"/>
        </w:rPr>
      </w:pPr>
      <w:r>
        <w:rPr>
          <w:rFonts w:hint="eastAsia" w:ascii="仿宋_GB2312" w:hAnsi="仿宋_GB2312" w:eastAsia="仿宋_GB2312" w:cs="仿宋_GB2312"/>
          <w:b/>
          <w:bCs/>
          <w:i w:val="0"/>
          <w:iCs w:val="0"/>
          <w:caps w:val="0"/>
          <w:strike w:val="0"/>
          <w:color w:val="auto"/>
          <w:spacing w:val="0"/>
          <w:kern w:val="2"/>
          <w:sz w:val="32"/>
          <w:szCs w:val="32"/>
          <w:u w:val="none"/>
          <w:lang w:val="en-US" w:eastAsia="zh-CN" w:bidi="ar-SA"/>
        </w:rPr>
        <w:t>三是加强公共文化空间和重大活动的文化审核与管理。</w:t>
      </w:r>
      <w:r>
        <w:rPr>
          <w:rFonts w:hint="default" w:ascii="仿宋_GB2312" w:hAnsi="仿宋_GB2312" w:eastAsia="仿宋_GB2312" w:cs="仿宋_GB2312"/>
          <w:b w:val="0"/>
          <w:i w:val="0"/>
          <w:iCs w:val="0"/>
          <w:caps w:val="0"/>
          <w:strike w:val="0"/>
          <w:color w:val="auto"/>
          <w:spacing w:val="0"/>
          <w:kern w:val="2"/>
          <w:sz w:val="32"/>
          <w:szCs w:val="32"/>
          <w:u w:val="none"/>
          <w:lang w:val="en-US" w:eastAsia="zh-CN" w:bidi="ar-SA"/>
        </w:rPr>
        <w:t>对涉及历史地标、民族符号、文化遗产场所的商业活动和品牌营销，在审批环节重点审核文化符号准确性、历史语境适配性和涉外元素敏感性。对多次出现文化</w:t>
      </w:r>
      <w:bookmarkStart w:id="0" w:name="_GoBack"/>
      <w:bookmarkEnd w:id="0"/>
      <w:r>
        <w:rPr>
          <w:rFonts w:hint="default" w:ascii="仿宋_GB2312" w:hAnsi="仿宋_GB2312" w:eastAsia="仿宋_GB2312" w:cs="仿宋_GB2312"/>
          <w:b w:val="0"/>
          <w:i w:val="0"/>
          <w:iCs w:val="0"/>
          <w:caps w:val="0"/>
          <w:strike w:val="0"/>
          <w:color w:val="auto"/>
          <w:spacing w:val="0"/>
          <w:kern w:val="2"/>
          <w:sz w:val="32"/>
          <w:szCs w:val="32"/>
          <w:u w:val="none"/>
          <w:lang w:val="en-US" w:eastAsia="zh-CN" w:bidi="ar-SA"/>
        </w:rPr>
        <w:t>争议的跨国品牌建立观察名单，在辖区内活动审批时提高审核等级。</w:t>
      </w:r>
    </w:p>
    <w:p w14:paraId="2976B6FF">
      <w:pPr>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line="560" w:lineRule="atLeast"/>
        <w:ind w:left="0" w:leftChars="0" w:right="0" w:rightChars="0" w:firstLine="643" w:firstLineChars="200"/>
        <w:jc w:val="both"/>
        <w:textAlignment w:val="auto"/>
        <w:rPr>
          <w:rFonts w:hint="eastAsia" w:ascii="仿宋_GB2312" w:hAnsi="仿宋_GB2312" w:eastAsia="仿宋_GB2312" w:cs="仿宋_GB2312"/>
          <w:b w:val="0"/>
          <w:i w:val="0"/>
          <w:iCs w:val="0"/>
          <w:caps w:val="0"/>
          <w:strike w:val="0"/>
          <w:color w:val="auto"/>
          <w:spacing w:val="0"/>
          <w:kern w:val="2"/>
          <w:sz w:val="32"/>
          <w:szCs w:val="32"/>
          <w:u w:val="none"/>
          <w:lang w:val="en-US" w:eastAsia="zh-CN" w:bidi="ar-SA"/>
        </w:rPr>
      </w:pPr>
      <w:r>
        <w:rPr>
          <w:rFonts w:hint="eastAsia" w:ascii="仿宋_GB2312" w:hAnsi="仿宋_GB2312" w:eastAsia="仿宋_GB2312" w:cs="仿宋_GB2312"/>
          <w:b/>
          <w:bCs/>
          <w:i w:val="0"/>
          <w:iCs w:val="0"/>
          <w:caps w:val="0"/>
          <w:strike w:val="0"/>
          <w:color w:val="auto"/>
          <w:spacing w:val="0"/>
          <w:kern w:val="2"/>
          <w:sz w:val="32"/>
          <w:szCs w:val="32"/>
          <w:u w:val="none"/>
          <w:lang w:val="en-US" w:eastAsia="zh-CN" w:bidi="ar-SA"/>
        </w:rPr>
        <w:t>四是强化游戏动漫等青少年文化产品的专项治理。</w:t>
      </w:r>
      <w:r>
        <w:rPr>
          <w:rFonts w:hint="default" w:ascii="仿宋_GB2312" w:hAnsi="仿宋_GB2312" w:eastAsia="仿宋_GB2312" w:cs="仿宋_GB2312"/>
          <w:b w:val="0"/>
          <w:i w:val="0"/>
          <w:iCs w:val="0"/>
          <w:caps w:val="0"/>
          <w:strike w:val="0"/>
          <w:color w:val="auto"/>
          <w:spacing w:val="0"/>
          <w:kern w:val="2"/>
          <w:sz w:val="32"/>
          <w:szCs w:val="32"/>
          <w:u w:val="none"/>
          <w:lang w:val="en-US" w:eastAsia="zh-CN" w:bidi="ar-SA"/>
        </w:rPr>
        <w:t>对辖区内游戏企业内容审核流程和文化出海产品国内外版本一致性开展抽查，限制软色情、暴力、历史虚无主义等内容向用户尤其是未成年人触达。在正面内容供给方面，6月上线的国安题材微短剧《安全距离》将隐蔽战线斗争融入剧情，片尾设“普法小剧场”，获全网短剧热度周冠军。这一经验表明，以小切口、大主题的方式推动优质内容占领青少年文化阵地，是有效的治理思路。</w:t>
      </w:r>
    </w:p>
    <w:p w14:paraId="3E8528C7">
      <w:pPr>
        <w:keepNext w:val="0"/>
        <w:keepLines w:val="0"/>
        <w:pageBreakBefore w:val="0"/>
        <w:widowControl w:val="0"/>
        <w:suppressLineNumbers w:val="0"/>
        <w:kinsoku/>
        <w:wordWrap/>
        <w:overflowPunct/>
        <w:topLinePunct w:val="0"/>
        <w:autoSpaceDE/>
        <w:autoSpaceDN/>
        <w:bidi w:val="0"/>
        <w:adjustRightInd/>
        <w:snapToGrid/>
        <w:spacing w:beforeAutospacing="0" w:after="0" w:afterAutospacing="0" w:line="560" w:lineRule="atLeast"/>
        <w:ind w:left="0" w:leftChars="0" w:right="0" w:rightChars="0" w:firstLine="643" w:firstLineChars="200"/>
        <w:jc w:val="both"/>
        <w:textAlignment w:val="auto"/>
        <w:rPr>
          <w:rFonts w:hint="eastAsia" w:ascii="仿宋_GB2312" w:hAnsi="仿宋_GB2312" w:eastAsia="仿宋_GB2312" w:cs="仿宋_GB2312"/>
          <w:b w:val="0"/>
          <w:i w:val="0"/>
          <w:iCs w:val="0"/>
          <w:caps w:val="0"/>
          <w:strike w:val="0"/>
          <w:color w:val="auto"/>
          <w:spacing w:val="0"/>
          <w:kern w:val="2"/>
          <w:sz w:val="32"/>
          <w:szCs w:val="32"/>
          <w:u w:val="none"/>
          <w:lang w:val="en-US" w:eastAsia="zh-CN" w:bidi="ar-SA"/>
        </w:rPr>
      </w:pPr>
      <w:r>
        <w:rPr>
          <w:rFonts w:hint="eastAsia" w:ascii="仿宋_GB2312" w:hAnsi="仿宋_GB2312" w:eastAsia="仿宋_GB2312" w:cs="仿宋_GB2312"/>
          <w:b/>
          <w:bCs/>
          <w:i w:val="0"/>
          <w:iCs w:val="0"/>
          <w:caps w:val="0"/>
          <w:strike w:val="0"/>
          <w:color w:val="auto"/>
          <w:spacing w:val="0"/>
          <w:kern w:val="2"/>
          <w:sz w:val="32"/>
          <w:szCs w:val="32"/>
          <w:u w:val="none"/>
          <w:lang w:val="en-US" w:eastAsia="zh-CN" w:bidi="ar-SA"/>
        </w:rPr>
        <w:t>五是建立负面舆情快速响应和预警机制。</w:t>
      </w:r>
      <w:r>
        <w:rPr>
          <w:rFonts w:hint="eastAsia" w:ascii="仿宋_GB2312" w:hAnsi="仿宋_GB2312" w:eastAsia="仿宋_GB2312" w:cs="仿宋_GB2312"/>
          <w:b w:val="0"/>
          <w:i w:val="0"/>
          <w:iCs w:val="0"/>
          <w:caps w:val="0"/>
          <w:strike w:val="0"/>
          <w:color w:val="auto"/>
          <w:spacing w:val="0"/>
          <w:kern w:val="2"/>
          <w:sz w:val="32"/>
          <w:szCs w:val="32"/>
          <w:u w:val="none"/>
          <w:lang w:val="en-US" w:eastAsia="zh-CN" w:bidi="ar-SA"/>
        </w:rPr>
        <w:t>对辖区内消费纠纷、社会事件等负面舆情建立“外媒炒作预警”快速响应机制。如近期海淀区“鹅腿阿姨”鸭腿冒充鹅腿15年事件虽为消费纠纷，但涉及北大等高校官方此前的正面宣传包装，“塌房”后北大删除相关推文，此类境内负面事件需防范被境外势力包装为意识形态攻击素材。</w:t>
      </w:r>
    </w:p>
    <w:p w14:paraId="221060D6"/>
    <w:sectPr>
      <w:footerReference r:id="rId3"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大标宋简体">
    <w:panose1 w:val="03000509000000000000"/>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1AEE02">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E71D11">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2E71D11">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E064F9"/>
    <w:rsid w:val="11E064F9"/>
    <w:rsid w:val="36CF5C96"/>
    <w:rsid w:val="401776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4">
    <w:name w:val="footer"/>
    <w:basedOn w:val="1"/>
    <w:uiPriority w:val="0"/>
    <w:pPr>
      <w:tabs>
        <w:tab w:val="center" w:pos="4153"/>
        <w:tab w:val="right" w:pos="8306"/>
      </w:tabs>
      <w:snapToGrid w:val="0"/>
      <w:jc w:val="left"/>
    </w:pPr>
    <w:rPr>
      <w:sz w:val="18"/>
    </w:rPr>
  </w:style>
  <w:style w:type="paragraph" w:styleId="5">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Normal (Web)"/>
    <w:basedOn w:val="1"/>
    <w:uiPriority w:val="0"/>
    <w:rPr>
      <w:sz w:val="2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2959</Words>
  <Characters>3033</Characters>
  <Lines>0</Lines>
  <Paragraphs>0</Paragraphs>
  <TotalTime>202</TotalTime>
  <ScaleCrop>false</ScaleCrop>
  <LinksUpToDate>false</LinksUpToDate>
  <CharactersWithSpaces>3033</CharactersWithSpaces>
  <Application>WPS Office_12.1.0.26391_F1E327BC-269C-435d-A152-05C5408002CA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2026-07-03T02:21:00Z</dcterms:created>
  <dc:creator>xjh</dc:creator>
  <cp:lastModifiedBy>xjh</cp:lastModifiedBy>
  <dcterms:modified xsi:type="dcterms:W3CDTF">2026-07-03T06:07:12Z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2052-12.1.0.26391</vt:lpwstr>
  </property>
  <property fmtid="{D5CDD505-2E9C-101B-9397-08002B2CF9AE}" pid="3" name="ICV">
    <vt:lpwstr>1E1B73BAB4334915B77AD39F5BCAC09D_11</vt:lpwstr>
  </property>
  <property fmtid="{D5CDD505-2E9C-101B-9397-08002B2CF9AE}" pid="4" name="KSOTemplateDocerSaveRecord">
    <vt:lpwstr>eyJoZGlkIjoiZjJhZTA4MmMwZWExOTRjZTM3OTc3MWM0YTY0ZmJmYWMiLCJ1c2VySWQiOiIxMjcyODY3OTU0In0=</vt:lpwstr>
  </property>
</Properties>
</file>