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73E71">
      <w:pPr>
        <w:spacing w:line="560" w:lineRule="exact"/>
        <w:rPr>
          <w:rFonts w:ascii="黑体" w:hAnsi="黑体" w:eastAsia="黑体"/>
          <w:sz w:val="36"/>
          <w:szCs w:val="36"/>
        </w:rPr>
      </w:pPr>
      <w:bookmarkStart w:id="0" w:name="_Toc1035904"/>
    </w:p>
    <w:p w14:paraId="690375A0">
      <w:pPr>
        <w:spacing w:line="560" w:lineRule="exact"/>
        <w:rPr>
          <w:rFonts w:ascii="黑体" w:hAnsi="黑体" w:eastAsia="黑体"/>
          <w:sz w:val="36"/>
          <w:szCs w:val="36"/>
        </w:rPr>
      </w:pPr>
    </w:p>
    <w:p w14:paraId="44C46FA3">
      <w:pPr>
        <w:spacing w:line="560" w:lineRule="exact"/>
        <w:rPr>
          <w:rFonts w:ascii="方正楷体_GB2312" w:hAnsi="方正楷体_GB2312" w:eastAsia="方正楷体_GB2312" w:cs="方正楷体_GB2312"/>
          <w:sz w:val="36"/>
          <w:szCs w:val="36"/>
        </w:rPr>
      </w:pPr>
      <w:r>
        <w:rPr>
          <w:rFonts w:hint="eastAsia" w:ascii="黑体" w:hAnsi="黑体" w:eastAsia="黑体"/>
          <w:sz w:val="36"/>
          <w:szCs w:val="36"/>
        </w:rPr>
        <w:t>内部刊物</w:t>
      </w:r>
    </w:p>
    <w:p w14:paraId="3EFBAB5D">
      <w:pPr>
        <w:spacing w:before="312" w:beforeLines="100"/>
        <w:jc w:val="left"/>
        <w:rPr>
          <w:rFonts w:ascii="方正楷体_GB2312" w:hAnsi="方正楷体_GB2312" w:eastAsia="方正楷体_GB2312" w:cs="方正楷体_GB2312"/>
          <w:sz w:val="36"/>
          <w:szCs w:val="36"/>
        </w:rPr>
      </w:pPr>
      <w:r>
        <w:rPr>
          <w:rFonts w:hint="eastAsia" w:ascii="华文中宋" w:hAnsi="华文中宋" w:eastAsia="华文中宋"/>
          <w:color w:val="FF0000"/>
          <w:spacing w:val="-44"/>
          <w:w w:val="98"/>
          <w:sz w:val="124"/>
          <w:szCs w:val="124"/>
        </w:rPr>
        <w:t>境外敏感</w:t>
      </w:r>
      <w:bookmarkStart w:id="6" w:name="_GoBack"/>
      <w:bookmarkEnd w:id="6"/>
      <w:r>
        <w:rPr>
          <w:rFonts w:hint="eastAsia" w:ascii="华文中宋" w:hAnsi="华文中宋" w:eastAsia="华文中宋"/>
          <w:color w:val="FF0000"/>
          <w:spacing w:val="-44"/>
          <w:w w:val="98"/>
          <w:sz w:val="124"/>
          <w:szCs w:val="124"/>
        </w:rPr>
        <w:t>信息专报</w:t>
      </w:r>
    </w:p>
    <w:p w14:paraId="57E9DEE2">
      <w:pPr>
        <w:spacing w:line="560" w:lineRule="exact"/>
        <w:rPr>
          <w:rFonts w:ascii="方正楷体_GB2312" w:hAnsi="方正楷体_GB2312" w:eastAsia="方正楷体_GB2312" w:cs="方正楷体_GB2312"/>
          <w:sz w:val="36"/>
          <w:szCs w:val="36"/>
        </w:rPr>
      </w:pPr>
    </w:p>
    <w:p w14:paraId="4218649C">
      <w:pPr>
        <w:spacing w:line="560" w:lineRule="exact"/>
        <w:rPr>
          <w:rFonts w:ascii="方正楷体_GB2312" w:hAnsi="方正楷体_GB2312" w:eastAsia="方正楷体_GB2312" w:cs="方正楷体_GB2312"/>
          <w:sz w:val="36"/>
          <w:szCs w:val="36"/>
        </w:rPr>
      </w:pPr>
    </w:p>
    <w:p w14:paraId="3CD88CB7">
      <w:pPr>
        <w:spacing w:line="560" w:lineRule="exact"/>
        <w:jc w:val="left"/>
        <w:rPr>
          <w:rFonts w:ascii="楷体_GB2312" w:hAnsi="楷体_GB2312" w:eastAsia="楷体_GB2312" w:cs="楷体_GB2312"/>
          <w:sz w:val="40"/>
          <w:szCs w:val="40"/>
        </w:rPr>
      </w:pPr>
      <w:r>
        <w:rPr>
          <w:rFonts w:hint="eastAsia" w:ascii="楷体_GB2312" w:hAnsi="楷体_GB2312" w:eastAsia="楷体_GB2312" w:cs="楷体_GB2312"/>
          <w:sz w:val="40"/>
          <w:szCs w:val="40"/>
        </w:rPr>
        <w:t>中共北京市委网信办</w:t>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hint="eastAsia" w:ascii="楷体_GB2312" w:hAnsi="楷体_GB2312" w:eastAsia="楷体_GB2312" w:cs="楷体_GB2312"/>
          <w:sz w:val="40"/>
          <w:szCs w:val="40"/>
        </w:rPr>
        <w:t>2026年6月25日</w:t>
      </w:r>
    </w:p>
    <w:p w14:paraId="5A9B0C5D">
      <w:pPr>
        <w:tabs>
          <w:tab w:val="left" w:pos="-142"/>
        </w:tabs>
        <w:adjustRightInd w:val="0"/>
        <w:snapToGrid w:val="0"/>
        <w:spacing w:line="400" w:lineRule="exact"/>
        <w:rPr>
          <w:rFonts w:ascii="方正楷体_GB2312" w:hAnsi="方正楷体_GB2312" w:eastAsia="方正楷体_GB2312" w:cs="方正楷体_GB2312"/>
          <w:bCs/>
          <w:sz w:val="44"/>
          <w:szCs w:val="44"/>
        </w:rPr>
      </w:pPr>
      <w:r>
        <w:rPr>
          <w:rFonts w:hint="eastAsia" w:ascii="方正楷体_GB2312" w:hAnsi="方正楷体_GB2312" w:eastAsia="方正楷体_GB2312" w:cs="方正楷体_GB2312"/>
          <w:color w:val="FF0000"/>
          <w:sz w:val="32"/>
          <w:szCs w:val="32"/>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26670</wp:posOffset>
                </wp:positionV>
                <wp:extent cx="5753735" cy="635"/>
                <wp:effectExtent l="0" t="12700" r="12065" b="2476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5753735" cy="635"/>
                        </a:xfrm>
                        <a:prstGeom prst="line">
                          <a:avLst/>
                        </a:prstGeom>
                        <a:noFill/>
                        <a:ln w="25400">
                          <a:solidFill>
                            <a:srgbClr val="FF0000"/>
                          </a:solidFill>
                          <a:round/>
                        </a:ln>
                        <a:effectLst/>
                      </wps:spPr>
                      <wps:bodyPr/>
                    </wps:wsp>
                  </a:graphicData>
                </a:graphic>
              </wp:anchor>
            </w:drawing>
          </mc:Choice>
          <mc:Fallback>
            <w:pict>
              <v:line id="_x0000_s1026" o:spid="_x0000_s1026" o:spt="20" style="position:absolute;left:0pt;margin-left:-0.85pt;margin-top:2.1pt;height:0.05pt;width:453.05pt;z-index:251659264;mso-width-relative:page;mso-height-relative:page;" filled="f" stroked="t" coordsize="21600,21600" o:gfxdata="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K1&#10;NN3VAAAABgEAAA8AAAAAAAAAAQAgAAAAIgAAAGRycy9kb3ducmV2LnhtbFBLAQIUABQAAAAIAIdO&#10;4kAMNNcb7QEAALsDAAAOAAAAAAAAAAEAIAAAACQBAABkcnMvZTJvRG9jLnhtbFBLBQYAAAAABgAG&#10;AFkBAACDBQAAAAA=&#10;">
                <v:fill on="f" focussize="0,0"/>
                <v:stroke weight="2pt" color="#FF0000" joinstyle="round"/>
                <v:imagedata o:title=""/>
                <o:lock v:ext="edit" aspectratio="f"/>
              </v:line>
            </w:pict>
          </mc:Fallback>
        </mc:AlternateContent>
      </w:r>
    </w:p>
    <w:p w14:paraId="09363B5B">
      <w:pPr>
        <w:tabs>
          <w:tab w:val="left" w:pos="-142"/>
        </w:tabs>
        <w:spacing w:line="560" w:lineRule="exact"/>
        <w:ind w:right="-672" w:rightChars="-280" w:firstLine="3960" w:firstLineChars="900"/>
        <w:rPr>
          <w:rFonts w:ascii="楷体_GB2312" w:hAnsi="楷体_GB2312" w:eastAsia="楷体_GB2312" w:cs="楷体_GB2312"/>
          <w:sz w:val="40"/>
          <w:szCs w:val="40"/>
        </w:rPr>
      </w:pPr>
      <w:r>
        <w:rPr>
          <w:rFonts w:hint="eastAsia" w:ascii="方正楷体_GB2312" w:hAnsi="方正楷体_GB2312" w:eastAsia="方正楷体_GB2312" w:cs="方正楷体_GB2312"/>
          <w:bCs/>
          <w:sz w:val="44"/>
          <w:szCs w:val="44"/>
        </w:rPr>
        <w:t>目 录</w:t>
      </w:r>
      <w:bookmarkEnd w:id="0"/>
      <w:bookmarkStart w:id="1" w:name="_Toc137723241"/>
      <w:r>
        <w:rPr>
          <w:rFonts w:hint="eastAsia" w:ascii="方正楷体_GB2312" w:hAnsi="方正楷体_GB2312" w:eastAsia="方正楷体_GB2312" w:cs="方正楷体_GB2312"/>
          <w:sz w:val="40"/>
          <w:szCs w:val="40"/>
        </w:rPr>
        <w:fldChar w:fldCharType="begin"/>
      </w:r>
      <w:r>
        <w:rPr>
          <w:rFonts w:hint="eastAsia" w:ascii="方正楷体_GB2312" w:hAnsi="方正楷体_GB2312" w:eastAsia="方正楷体_GB2312" w:cs="方正楷体_GB2312"/>
          <w:sz w:val="40"/>
          <w:szCs w:val="40"/>
        </w:rPr>
        <w:instrText xml:space="preserve"> TOC \o "2-2" \n \h \z \u </w:instrText>
      </w:r>
      <w:r>
        <w:rPr>
          <w:rFonts w:hint="eastAsia" w:ascii="方正楷体_GB2312" w:hAnsi="方正楷体_GB2312" w:eastAsia="方正楷体_GB2312" w:cs="方正楷体_GB2312"/>
          <w:sz w:val="40"/>
          <w:szCs w:val="40"/>
        </w:rPr>
        <w:fldChar w:fldCharType="separate"/>
      </w:r>
    </w:p>
    <w:p w14:paraId="008FD74C">
      <w:pPr>
        <w:spacing w:before="156" w:beforeLines="50" w:after="156" w:afterLines="50" w:line="560" w:lineRule="exact"/>
        <w:rPr>
          <w:rFonts w:ascii="楷体_GB2312" w:hAnsi="楷体_GB2312" w:eastAsia="楷体_GB2312" w:cs="楷体_GB2312"/>
          <w:sz w:val="40"/>
          <w:szCs w:val="40"/>
        </w:rPr>
      </w:pPr>
    </w:p>
    <w:p w14:paraId="29432BCB">
      <w:pPr>
        <w:numPr>
          <w:ilvl w:val="0"/>
          <w:numId w:val="1"/>
        </w:numPr>
        <w:spacing w:before="156" w:beforeLines="50" w:after="156" w:afterLines="50" w:line="560" w:lineRule="exact"/>
        <w:rPr>
          <w:rFonts w:ascii="楷体_GB2312" w:hAnsi="楷体_GB2312" w:eastAsia="楷体_GB2312" w:cs="楷体_GB2312"/>
          <w:sz w:val="40"/>
          <w:szCs w:val="40"/>
        </w:rPr>
      </w:pPr>
      <w:r>
        <w:rPr>
          <w:rFonts w:ascii="楷体_GB2312" w:hAnsi="楷体_GB2312" w:eastAsia="楷体_GB2312" w:cs="楷体_GB2312"/>
          <w:sz w:val="40"/>
          <w:szCs w:val="40"/>
        </w:rPr>
        <w:t>日本半导体设备对华销售下滑 中国国产化加速</w:t>
      </w:r>
    </w:p>
    <w:p w14:paraId="10F3D288">
      <w:pPr>
        <w:numPr>
          <w:ilvl w:val="0"/>
          <w:numId w:val="1"/>
        </w:numPr>
        <w:spacing w:before="156" w:beforeLines="50" w:after="156" w:afterLines="50" w:line="560" w:lineRule="exact"/>
        <w:rPr>
          <w:rFonts w:ascii="楷体_GB2312" w:hAnsi="楷体_GB2312" w:eastAsia="楷体_GB2312" w:cs="楷体_GB2312"/>
          <w:sz w:val="40"/>
          <w:szCs w:val="40"/>
        </w:rPr>
      </w:pPr>
      <w:r>
        <w:rPr>
          <w:rFonts w:ascii="楷体_GB2312" w:hAnsi="楷体_GB2312" w:eastAsia="楷体_GB2312" w:cs="楷体_GB2312"/>
          <w:sz w:val="40"/>
          <w:szCs w:val="40"/>
        </w:rPr>
        <w:t>德国纯电补贴对华开放 政策未来存变数</w:t>
      </w:r>
    </w:p>
    <w:p w14:paraId="74E06AD5">
      <w:pPr>
        <w:numPr>
          <w:ilvl w:val="0"/>
          <w:numId w:val="1"/>
        </w:numPr>
        <w:spacing w:before="156" w:beforeLines="50" w:after="156" w:afterLines="50" w:line="560" w:lineRule="exact"/>
        <w:rPr>
          <w:rFonts w:ascii="楷体_GB2312" w:hAnsi="楷体_GB2312" w:eastAsia="楷体_GB2312" w:cs="楷体_GB2312"/>
          <w:sz w:val="40"/>
          <w:szCs w:val="40"/>
        </w:rPr>
      </w:pPr>
      <w:r>
        <w:rPr>
          <w:rFonts w:hint="eastAsia" w:ascii="方正楷体_GB2312" w:hAnsi="方正楷体_GB2312" w:eastAsia="方正楷体_GB2312" w:cs="方正楷体_GB2312"/>
          <w:sz w:val="40"/>
          <w:szCs w:val="40"/>
        </w:rPr>
        <w:fldChar w:fldCharType="end"/>
      </w:r>
      <w:bookmarkEnd w:id="1"/>
      <w:r>
        <w:rPr>
          <w:rFonts w:ascii="楷体_GB2312" w:hAnsi="楷体_GB2312" w:eastAsia="楷体_GB2312" w:cs="楷体_GB2312"/>
          <w:sz w:val="40"/>
          <w:szCs w:val="40"/>
        </w:rPr>
        <w:t>阿里起诉美国国防部 否认与中国军方关联</w:t>
      </w:r>
    </w:p>
    <w:p w14:paraId="3B627E4B">
      <w:pPr>
        <w:numPr>
          <w:ilvl w:val="0"/>
          <w:numId w:val="1"/>
        </w:numPr>
        <w:spacing w:before="156" w:beforeLines="50" w:after="156" w:afterLines="50" w:line="560" w:lineRule="exact"/>
        <w:rPr>
          <w:rFonts w:ascii="楷体_GB2312" w:hAnsi="楷体_GB2312" w:eastAsia="楷体_GB2312" w:cs="楷体_GB2312"/>
          <w:sz w:val="40"/>
          <w:szCs w:val="40"/>
        </w:rPr>
      </w:pPr>
      <w:r>
        <w:rPr>
          <w:rFonts w:ascii="楷体_GB2312" w:hAnsi="楷体_GB2312" w:eastAsia="楷体_GB2312" w:cs="楷体_GB2312"/>
          <w:sz w:val="40"/>
          <w:szCs w:val="40"/>
        </w:rPr>
        <w:t>字节跳动拟筹</w:t>
      </w:r>
      <w:r>
        <w:rPr>
          <w:rFonts w:hint="eastAsia" w:ascii="楷体_GB2312" w:hAnsi="楷体_GB2312" w:eastAsia="楷体_GB2312" w:cs="楷体_GB2312"/>
          <w:sz w:val="40"/>
          <w:szCs w:val="40"/>
        </w:rPr>
        <w:t>200</w:t>
      </w:r>
      <w:r>
        <w:rPr>
          <w:rFonts w:ascii="楷体_GB2312" w:hAnsi="楷体_GB2312" w:eastAsia="楷体_GB2312" w:cs="楷体_GB2312"/>
          <w:sz w:val="40"/>
          <w:szCs w:val="40"/>
        </w:rPr>
        <w:t>亿海外贷款</w:t>
      </w:r>
      <w:r>
        <w:rPr>
          <w:rFonts w:hint="eastAsia" w:ascii="楷体_GB2312" w:hAnsi="楷体_GB2312" w:eastAsia="楷体_GB2312" w:cs="楷体_GB2312"/>
          <w:sz w:val="40"/>
          <w:szCs w:val="40"/>
        </w:rPr>
        <w:t>增加AI</w:t>
      </w:r>
      <w:r>
        <w:rPr>
          <w:rFonts w:ascii="楷体_GB2312" w:hAnsi="楷体_GB2312" w:eastAsia="楷体_GB2312" w:cs="楷体_GB2312"/>
          <w:sz w:val="40"/>
          <w:szCs w:val="40"/>
        </w:rPr>
        <w:t>投资</w:t>
      </w:r>
    </w:p>
    <w:p w14:paraId="1FB594F6">
      <w:pPr>
        <w:numPr>
          <w:ilvl w:val="0"/>
          <w:numId w:val="1"/>
        </w:numPr>
        <w:spacing w:before="156" w:beforeLines="50" w:after="156" w:afterLines="50" w:line="560" w:lineRule="exact"/>
        <w:rPr>
          <w:rFonts w:ascii="楷体_GB2312" w:hAnsi="楷体_GB2312" w:eastAsia="楷体_GB2312" w:cs="楷体_GB2312"/>
          <w:sz w:val="40"/>
          <w:szCs w:val="40"/>
        </w:rPr>
      </w:pPr>
      <w:r>
        <w:rPr>
          <w:rFonts w:ascii="楷体_GB2312" w:hAnsi="楷体_GB2312" w:eastAsia="楷体_GB2312" w:cs="楷体_GB2312"/>
          <w:sz w:val="40"/>
          <w:szCs w:val="40"/>
        </w:rPr>
        <w:t>摩根士丹利大幅上调中国人形机器人出货预测</w:t>
      </w:r>
    </w:p>
    <w:p w14:paraId="7CD2AE15">
      <w:pPr>
        <w:numPr>
          <w:ilvl w:val="0"/>
          <w:numId w:val="1"/>
        </w:numPr>
        <w:spacing w:before="156" w:beforeLines="50" w:after="156" w:afterLines="50" w:line="560" w:lineRule="exact"/>
        <w:rPr>
          <w:rFonts w:ascii="楷体_GB2312" w:hAnsi="楷体_GB2312" w:eastAsia="楷体_GB2312" w:cs="楷体_GB2312"/>
          <w:sz w:val="40"/>
          <w:szCs w:val="40"/>
        </w:rPr>
      </w:pPr>
      <w:r>
        <w:rPr>
          <w:rFonts w:ascii="楷体_GB2312" w:hAnsi="楷体_GB2312" w:eastAsia="楷体_GB2312" w:cs="楷体_GB2312"/>
          <w:sz w:val="40"/>
          <w:szCs w:val="40"/>
        </w:rPr>
        <w:t>OpenAI与博通发布首款定制AI芯片</w:t>
      </w:r>
    </w:p>
    <w:p w14:paraId="27481782">
      <w:pPr>
        <w:numPr>
          <w:ilvl w:val="0"/>
          <w:numId w:val="1"/>
        </w:numPr>
        <w:spacing w:before="156" w:beforeLines="50" w:after="156" w:afterLines="50" w:line="560" w:lineRule="exact"/>
        <w:rPr>
          <w:rFonts w:ascii="楷体_GB2312" w:hAnsi="楷体_GB2312" w:eastAsia="楷体_GB2312" w:cs="楷体_GB2312"/>
          <w:sz w:val="40"/>
          <w:szCs w:val="40"/>
        </w:rPr>
        <w:sectPr>
          <w:footerReference r:id="rId5" w:type="default"/>
          <w:pgSz w:w="11906" w:h="16838"/>
          <w:pgMar w:top="1797" w:right="1440" w:bottom="1797" w:left="1440" w:header="851" w:footer="992" w:gutter="0"/>
          <w:pgNumType w:start="1"/>
          <w:cols w:space="720" w:num="1"/>
          <w:docGrid w:type="lines" w:linePitch="312" w:charSpace="0"/>
        </w:sectPr>
      </w:pPr>
    </w:p>
    <w:p w14:paraId="6A629733">
      <w:pPr>
        <w:spacing w:line="560" w:lineRule="exact"/>
        <w:rPr>
          <w:rFonts w:ascii="仿宋" w:hAnsi="仿宋" w:eastAsia="仿宋"/>
          <w:b/>
          <w:bCs/>
          <w:sz w:val="32"/>
          <w:szCs w:val="32"/>
        </w:rPr>
      </w:pPr>
      <w:bookmarkStart w:id="2" w:name="OLE_LINK11"/>
      <w:bookmarkStart w:id="3" w:name="OLE_LINK53"/>
      <w:r>
        <w:rPr>
          <w:rFonts w:hint="eastAsia"/>
          <w:b/>
          <w:bCs/>
          <w:sz w:val="32"/>
          <w:szCs w:val="32"/>
        </w:rPr>
        <w:t>日经中文网：</w:t>
      </w:r>
      <w:r>
        <w:rPr>
          <w:b/>
          <w:bCs/>
          <w:sz w:val="32"/>
          <w:szCs w:val="32"/>
        </w:rPr>
        <w:t>日本半导体设备对华销售下滑 中国国产化加速</w:t>
      </w:r>
    </w:p>
    <w:p w14:paraId="634F5D1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2026-06-24</w:t>
      </w:r>
    </w:p>
    <w:p w14:paraId="76B3F65A">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中国半导体制造设备的国产化开始取得进展。</w:t>
      </w:r>
      <w:r>
        <w:rPr>
          <w:rFonts w:ascii="仿宋_GB2312" w:hAnsi="仿宋_GB2312" w:eastAsia="仿宋_GB2312" w:cs="仿宋_GB2312"/>
          <w:b/>
          <w:bCs/>
          <w:sz w:val="32"/>
          <w:szCs w:val="32"/>
        </w:rPr>
        <w:t>2025财年（截至2026年3月）日本五大半导体设备企业的合计对华销售额下降一成，首次低于上财年，欧美企业的对华销售也陷入停滞。</w:t>
      </w:r>
      <w:r>
        <w:rPr>
          <w:rFonts w:ascii="仿宋_GB2312" w:hAnsi="仿宋_GB2312" w:eastAsia="仿宋_GB2312" w:cs="仿宋_GB2312"/>
          <w:sz w:val="32"/>
          <w:szCs w:val="32"/>
        </w:rPr>
        <w:t>中国正在通过政府主导的扶持政策，从日本等外国企业手中夺取市场份额。</w:t>
      </w:r>
    </w:p>
    <w:p w14:paraId="70FECC36">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Tokyo Electron、爱德万测试、SCREEN控股、迪思科、KOKUSAI ELECTRIC五家日本企业的2025财年对华销售额合计为1.47万亿日元，较2024财年下滑12%。2026年1～3月Tokyo Electron的对华销售占比为27%，较上年同期下降7个百分点，相较于2024年4～6月的50%出现大幅下滑。</w:t>
      </w:r>
    </w:p>
    <w:p w14:paraId="79ED14A5">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从主要从事“前工序”业务的企业来看，销售额下降尤为明显。2025财年Tokyo Electron、SCREEN、KOKUSAI三家公司的合计对华销售相较于上财年减少近两成。</w:t>
      </w:r>
      <w:r>
        <w:rPr>
          <w:rFonts w:ascii="仿宋_GB2312" w:hAnsi="仿宋_GB2312" w:eastAsia="仿宋_GB2312" w:cs="仿宋_GB2312"/>
          <w:b/>
          <w:bCs/>
          <w:sz w:val="32"/>
          <w:szCs w:val="32"/>
        </w:rPr>
        <w:t>继台湾、韩国企业之后，中国大陆企业开始在设备领域争夺市场份额。</w:t>
      </w:r>
    </w:p>
    <w:p w14:paraId="173E06D7">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荷兰阿斯麦控股、美国应用材料及美国科磊等欧美大型企业也在中国市场面临困境。2026年1～3月第一大设备企业阿斯麦的对华销售占比为19%，相较于上年同期的27%下降8个百分点。</w:t>
      </w:r>
    </w:p>
    <w:p w14:paraId="41991430">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SEMI数据显示，2025年占全球37%的中国半导体设备市场规模为493亿美元，与2024年持平。</w:t>
      </w:r>
      <w:r>
        <w:rPr>
          <w:rFonts w:ascii="仿宋_GB2312" w:hAnsi="仿宋_GB2312" w:eastAsia="仿宋_GB2312" w:cs="仿宋_GB2312"/>
          <w:b/>
          <w:bCs/>
          <w:sz w:val="32"/>
          <w:szCs w:val="32"/>
        </w:rPr>
        <w:t>中国厂商因中美对立而实施的提前投资告一段落，市场规模趋于持平，但日美欧厂商的销售却出现下滑，原因在于当地竞争企业崛起。</w:t>
      </w:r>
    </w:p>
    <w:p w14:paraId="28A8441D">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受美国政府出台的对华半导体管制影响，中国已无法获取海外生产的尖端制造设备。</w:t>
      </w:r>
      <w:r>
        <w:rPr>
          <w:rFonts w:ascii="仿宋_GB2312" w:hAnsi="仿宋_GB2312" w:eastAsia="仿宋_GB2312" w:cs="仿宋_GB2312"/>
          <w:b/>
          <w:bCs/>
          <w:sz w:val="32"/>
          <w:szCs w:val="32"/>
        </w:rPr>
        <w:t>为建立自主供应链，中国由政府牵头推进国产化，并要求本土半导体制造企业优先采购国产设备。</w:t>
      </w:r>
    </w:p>
    <w:p w14:paraId="5A49DBBC">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MIR数据显示，2025年中国半导体制造设备的国产化率方面，“前工序”设备的国产化率达21%，比2021年（10%）大幅增长。“后工序”的国产化率也从19%提升至36%。</w:t>
      </w:r>
      <w:bookmarkStart w:id="4" w:name="OLE_LINK60"/>
      <w:r>
        <w:rPr>
          <w:rFonts w:ascii="仿宋_GB2312" w:hAnsi="仿宋_GB2312" w:eastAsia="仿宋_GB2312" w:cs="仿宋_GB2312"/>
          <w:b/>
          <w:bCs/>
          <w:sz w:val="32"/>
          <w:szCs w:val="32"/>
        </w:rPr>
        <w:t>北京国资背景的北方华创以及上海的中微半导体不断提高技术实力。</w:t>
      </w:r>
      <w:bookmarkEnd w:id="4"/>
    </w:p>
    <w:p w14:paraId="5E7F94E9">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在中国，提升半导体技术的关键是华为。为实现人工智能（AI）半导体的自主开发与量产，华为与北方华创及深圳市新凯来技术等装置制造商合作，主导研究开发。</w:t>
      </w:r>
    </w:p>
    <w:p w14:paraId="5F8091C6">
      <w:pPr>
        <w:spacing w:line="560" w:lineRule="exact"/>
        <w:ind w:firstLine="643" w:firstLineChars="200"/>
        <w:rPr>
          <w:rFonts w:ascii="仿宋_GB2312" w:hAnsi="仿宋_GB2312" w:eastAsia="仿宋_GB2312" w:cs="仿宋_GB2312"/>
          <w:sz w:val="32"/>
          <w:szCs w:val="32"/>
        </w:rPr>
      </w:pPr>
      <w:r>
        <w:rPr>
          <w:rFonts w:ascii="仿宋_GB2312" w:hAnsi="仿宋_GB2312" w:eastAsia="仿宋_GB2312" w:cs="仿宋_GB2312"/>
          <w:b/>
          <w:bCs/>
          <w:sz w:val="32"/>
          <w:szCs w:val="32"/>
        </w:rPr>
        <w:t>熟悉半导体产业的KPMG FAS的执行董事合伙人冈本准称：“当地的设备制造商正在迅速增强实力。海外企业的市场份额今后还会继续下降”。</w:t>
      </w:r>
      <w:r>
        <w:rPr>
          <w:rFonts w:ascii="仿宋_GB2312" w:hAnsi="仿宋_GB2312" w:eastAsia="仿宋_GB2312" w:cs="仿宋_GB2312"/>
          <w:sz w:val="32"/>
          <w:szCs w:val="32"/>
        </w:rPr>
        <w:t>另外，在半导体材料领域，与大学及研究机构等合作的新兴企业不断涌现。</w:t>
      </w:r>
    </w:p>
    <w:p w14:paraId="62653EAE">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中国企业在车载半导体、调压功率半导体领域的影响力不断扩大。通过在旧一代产品上积累技术力量，逐步实现先进尖端半导体的量产，并最终规划自主研发面向AI的尖端半导体的蓝图。</w:t>
      </w:r>
    </w:p>
    <w:p w14:paraId="61228CAC">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Tokyo Electron社长河合利树表示：“在安全性能、环保性能、产能等方面，我们的优势没有改变，将继续保持领先”。</w:t>
      </w:r>
      <w:r>
        <w:rPr>
          <w:rFonts w:ascii="仿宋_GB2312" w:hAnsi="仿宋_GB2312" w:eastAsia="仿宋_GB2312" w:cs="仿宋_GB2312"/>
          <w:b/>
          <w:bCs/>
          <w:sz w:val="32"/>
          <w:szCs w:val="32"/>
        </w:rPr>
        <w:t>SCREEN也认为，已开始量产高性能半导体的中国设备需求将稳定增长，因此商机巨大。</w:t>
      </w:r>
    </w:p>
    <w:p w14:paraId="057B9F2B">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2025财年前工序设备对华销售陷入停滞，但封装等“后工序”设备销量保持上涨态势。检测设备龙头爱德万测试对华销售额比上财年增长约两成，迪思科的对华销售额也实现近一成增长。</w:t>
      </w:r>
    </w:p>
    <w:p w14:paraId="7295F1AF">
      <w:pPr>
        <w:spacing w:line="560" w:lineRule="exact"/>
        <w:rPr>
          <w:rFonts w:hint="eastAsia" w:ascii="仿宋_GB2312" w:hAnsi="仿宋_GB2312" w:eastAsia="仿宋_GB2312" w:cs="仿宋_GB2312"/>
          <w:sz w:val="32"/>
          <w:szCs w:val="32"/>
        </w:rPr>
      </w:pPr>
    </w:p>
    <w:p w14:paraId="7D65C832">
      <w:pPr>
        <w:spacing w:line="560" w:lineRule="exact"/>
        <w:rPr>
          <w:b/>
          <w:bCs/>
          <w:sz w:val="32"/>
          <w:szCs w:val="32"/>
        </w:rPr>
      </w:pPr>
      <w:r>
        <w:rPr>
          <w:rFonts w:hint="eastAsia"/>
          <w:b/>
          <w:bCs/>
          <w:sz w:val="32"/>
          <w:szCs w:val="32"/>
        </w:rPr>
        <w:t>FT中文网：</w:t>
      </w:r>
      <w:r>
        <w:rPr>
          <w:b/>
          <w:bCs/>
          <w:sz w:val="32"/>
          <w:szCs w:val="32"/>
        </w:rPr>
        <w:t>德国纯电补贴对华开放 政策未来存变数</w:t>
      </w:r>
    </w:p>
    <w:p w14:paraId="44BE2F8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2026-06-24</w:t>
      </w:r>
    </w:p>
    <w:p w14:paraId="4F31661E">
      <w:pPr>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德国今年推出的电动汽车购车补贴政策，并未对品牌或产地设限，这对积极开拓德国市场的中国车企无疑是一大利好。</w:t>
      </w:r>
      <w:r>
        <w:rPr>
          <w:rFonts w:ascii="Times New Roman" w:hAnsi="Times New Roman" w:eastAsia="仿宋_GB2312"/>
          <w:sz w:val="32"/>
          <w:szCs w:val="32"/>
        </w:rPr>
        <w:t>不过，在政策环境持续变化的背景下，这一红利能持续多久，仍存在不确定性。</w:t>
      </w:r>
    </w:p>
    <w:p w14:paraId="3527693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根据新政，年应税收入低于8万欧元（两孩及以上家庭低于9万欧元）的个人或家庭，</w:t>
      </w:r>
      <w:r>
        <w:rPr>
          <w:rFonts w:ascii="Times New Roman" w:hAnsi="Times New Roman" w:eastAsia="仿宋_GB2312"/>
          <w:b/>
          <w:bCs/>
          <w:sz w:val="32"/>
          <w:szCs w:val="32"/>
        </w:rPr>
        <w:t>购买或租赁2026年起新注册的M1类纯电动、插电式混合动力、增程式电动或燃料电池车型，可申请最高6000欧元的购车补贴。</w:t>
      </w:r>
      <w:r>
        <w:rPr>
          <w:rFonts w:ascii="Times New Roman" w:hAnsi="Times New Roman" w:eastAsia="仿宋_GB2312"/>
          <w:sz w:val="32"/>
          <w:szCs w:val="32"/>
        </w:rPr>
        <w:t>该计划总规模30亿欧元，将实施至2029年。该政策对中国汽车的利好主要体现在：</w:t>
      </w:r>
      <w:r>
        <w:rPr>
          <w:rFonts w:ascii="Times New Roman" w:hAnsi="Times New Roman" w:eastAsia="仿宋_GB2312"/>
          <w:b/>
          <w:bCs/>
          <w:sz w:val="32"/>
          <w:szCs w:val="32"/>
        </w:rPr>
        <w:t>中国进入德国的新能源车在动力类型上完全符合要求，且高性价比车型正好切中受补贴惠及的中低收入群体的购车需求。</w:t>
      </w:r>
    </w:p>
    <w:p w14:paraId="43FC0E1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在补贴政策与油价上涨的双重助推下，德国私人汽车市场迎来爆发。</w:t>
      </w:r>
      <w:r>
        <w:rPr>
          <w:rFonts w:ascii="Times New Roman" w:hAnsi="Times New Roman" w:eastAsia="仿宋_GB2312"/>
          <w:b/>
          <w:bCs/>
          <w:sz w:val="32"/>
          <w:szCs w:val="32"/>
        </w:rPr>
        <w:t>数据显示，今年1至5月，德国新车注册量达118.8万辆。</w:t>
      </w:r>
      <w:r>
        <w:rPr>
          <w:rFonts w:ascii="Times New Roman" w:hAnsi="Times New Roman" w:eastAsia="仿宋_GB2312"/>
          <w:sz w:val="32"/>
          <w:szCs w:val="32"/>
        </w:rPr>
        <w:t>其中，电驱车型占比达35%，同比增长32%；纯电动汽车市场份额达23.9%，同比大增40.9%。5月首次开放补贴申请通道后，纯电动汽车在私人市场的份额攀升至36.4%，创下年内新高。</w:t>
      </w:r>
    </w:p>
    <w:p w14:paraId="37B466A9">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目前德国电动车市场仍牢牢掌握在大众、宝马和奥迪等本土车企手中，但中国汽车品牌展现出了强劲的增长势头。今年1至5月，比亚迪在德国新注册乘用车达19993辆，同比激增330.1%；进入德国市场尚不足两年的零跑汽车，同期注册量亦达5740辆，同比增长283.7%；此外，小鹏汽车也录得195.2%的增长率。</w:t>
      </w:r>
    </w:p>
    <w:p w14:paraId="1ED33BF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这一增长趋势引发了对华强硬派的警惕。欧盟委员会目前正蓄势推动“购买欧洲货”法案，核心在于界定“欧洲制造”的标准。大众、斯泰兰蒂斯和雷诺三大汽车制造商已联名呼吁，</w:t>
      </w:r>
      <w:r>
        <w:rPr>
          <w:rFonts w:ascii="Times New Roman" w:hAnsi="Times New Roman" w:eastAsia="仿宋_GB2312"/>
          <w:b/>
          <w:bCs/>
          <w:sz w:val="32"/>
          <w:szCs w:val="32"/>
        </w:rPr>
        <w:t>要求在欧销售的汽车中必须有70%的车辆实现70%的价值源自欧盟内部。</w:t>
      </w:r>
      <w:r>
        <w:rPr>
          <w:rFonts w:ascii="Times New Roman" w:hAnsi="Times New Roman" w:eastAsia="仿宋_GB2312"/>
          <w:sz w:val="32"/>
          <w:szCs w:val="32"/>
        </w:rPr>
        <w:t>欧盟的立法导向极其明确，即确保未来的电动汽车补贴仅惠及本土欧洲制造商。</w:t>
      </w:r>
      <w:r>
        <w:rPr>
          <w:rFonts w:ascii="Times New Roman" w:hAnsi="Times New Roman" w:eastAsia="仿宋_GB2312"/>
          <w:b/>
          <w:bCs/>
          <w:sz w:val="32"/>
          <w:szCs w:val="32"/>
        </w:rPr>
        <w:t>同时，欧盟政界与学界正在塑造“德国是中国冲击2.0最大受害者”的叙事，德国部分媒体、政界及专家也开始质疑该补贴政策。</w:t>
      </w:r>
    </w:p>
    <w:p w14:paraId="28B0FD2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针对相关疑虑，德国官方明确回应表示，凡在德国首次注册的合规乘用车均可申请补贴。</w:t>
      </w:r>
      <w:r>
        <w:rPr>
          <w:rFonts w:ascii="Times New Roman" w:hAnsi="Times New Roman" w:eastAsia="仿宋_GB2312"/>
          <w:b/>
          <w:bCs/>
          <w:sz w:val="32"/>
          <w:szCs w:val="32"/>
        </w:rPr>
        <w:t>官方虽然强调目前德国境内注册的电动车约有80%产自欧洲，但这回避了部分德国本土车企的车型是在中国生产再返销欧洲的现实。</w:t>
      </w:r>
      <w:r>
        <w:rPr>
          <w:rFonts w:ascii="Times New Roman" w:hAnsi="Times New Roman" w:eastAsia="仿宋_GB2312"/>
          <w:sz w:val="32"/>
          <w:szCs w:val="32"/>
        </w:rPr>
        <w:t>一旦以产地设限，首当其冲的将是德国汽车工业自身。</w:t>
      </w:r>
    </w:p>
    <w:p w14:paraId="28ED7DE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负责该事务的联邦环境部发言人称，</w:t>
      </w:r>
      <w:r>
        <w:rPr>
          <w:rFonts w:ascii="Times New Roman" w:hAnsi="Times New Roman" w:eastAsia="仿宋_GB2312"/>
          <w:b/>
          <w:bCs/>
          <w:sz w:val="32"/>
          <w:szCs w:val="32"/>
        </w:rPr>
        <w:t>“在现行资助框架内排除特定品牌，既不符合世贸组织规则，也违背欧盟贸易法。”</w:t>
      </w:r>
      <w:r>
        <w:rPr>
          <w:rFonts w:ascii="Times New Roman" w:hAnsi="Times New Roman" w:eastAsia="仿宋_GB2312"/>
          <w:sz w:val="32"/>
          <w:szCs w:val="32"/>
        </w:rPr>
        <w:t>不过，该发言人也表示，若未来法律环境发生变化，政府将在必要时做出调整。政策说明中也说，德国政府正在研究是否引入“欧盟优先规则”。</w:t>
      </w:r>
    </w:p>
    <w:p w14:paraId="3A0365CD">
      <w:pPr>
        <w:spacing w:line="560" w:lineRule="exact"/>
        <w:ind w:firstLine="640" w:firstLineChars="200"/>
        <w:rPr>
          <w:rFonts w:ascii="Times New Roman" w:hAnsi="Times New Roman" w:eastAsia="仿宋_GB2312"/>
          <w:sz w:val="32"/>
          <w:szCs w:val="32"/>
        </w:rPr>
      </w:pPr>
    </w:p>
    <w:p w14:paraId="2F653860">
      <w:pPr>
        <w:spacing w:line="560" w:lineRule="exact"/>
        <w:rPr>
          <w:b/>
          <w:bCs/>
          <w:sz w:val="32"/>
          <w:szCs w:val="32"/>
        </w:rPr>
      </w:pPr>
      <w:r>
        <w:rPr>
          <w:rFonts w:hint="eastAsia"/>
          <w:b/>
          <w:bCs/>
          <w:sz w:val="32"/>
          <w:szCs w:val="32"/>
        </w:rPr>
        <w:t>《纽约时报》</w:t>
      </w:r>
      <w:r>
        <w:rPr>
          <w:b/>
          <w:bCs/>
          <w:sz w:val="32"/>
          <w:szCs w:val="32"/>
        </w:rPr>
        <w:t>：阿里起诉美国国防部 否认与中国军方关联</w:t>
      </w:r>
    </w:p>
    <w:p w14:paraId="5930789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2026-06-24</w:t>
      </w:r>
    </w:p>
    <w:p w14:paraId="339012A7">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中国最具价值的科技公司之一阿里巴巴起诉了美国国防部，对五角大楼将其认定为中国军方关联企业的决定提出挑战。在周二向加利福尼亚州北区联邦地区法院提起的一项诉讼中，</w:t>
      </w:r>
      <w:r>
        <w:rPr>
          <w:rFonts w:ascii="Times New Roman" w:hAnsi="Times New Roman" w:eastAsia="仿宋_GB2312"/>
          <w:b/>
          <w:bCs/>
          <w:sz w:val="32"/>
          <w:szCs w:val="32"/>
        </w:rPr>
        <w:t>该公司表示自己与中国军方没有任何联系，并辩称五角大楼将其定性为军方关联公司属违法行为。</w:t>
      </w:r>
      <w:r>
        <w:rPr>
          <w:rFonts w:ascii="Times New Roman" w:hAnsi="Times New Roman" w:eastAsia="仿宋_GB2312"/>
          <w:sz w:val="32"/>
          <w:szCs w:val="32"/>
        </w:rPr>
        <w:t>阿里巴巴在国际上因其电子商务业务而闻名，但它也已成为一家主要的云计算提供商，以及中国领先的高级人工智能系统开发商之一。</w:t>
      </w:r>
    </w:p>
    <w:p w14:paraId="39284E8F">
      <w:pPr>
        <w:spacing w:line="560" w:lineRule="exact"/>
        <w:ind w:firstLine="640" w:firstLineChars="200"/>
        <w:rPr>
          <w:rFonts w:ascii="Times New Roman" w:hAnsi="Times New Roman" w:eastAsia="仿宋_GB2312"/>
          <w:b/>
          <w:bCs/>
          <w:sz w:val="32"/>
          <w:szCs w:val="32"/>
        </w:rPr>
      </w:pPr>
      <w:r>
        <w:rPr>
          <w:rFonts w:ascii="Times New Roman" w:hAnsi="Times New Roman" w:eastAsia="仿宋_GB2312"/>
          <w:sz w:val="32"/>
          <w:szCs w:val="32"/>
        </w:rPr>
        <w:t>本月早些时候，美国将阿里巴巴列入了一份华盛顿方面声称支持中国军方的公司名单。一同被列入名单的还有几家中国最具战略重要性的公司，包括电动汽车制造商比亚迪和机器人公司宇树科技等。</w:t>
      </w:r>
      <w:r>
        <w:rPr>
          <w:rFonts w:ascii="Times New Roman" w:hAnsi="Times New Roman" w:eastAsia="仿宋_GB2312"/>
          <w:b/>
          <w:bCs/>
          <w:sz w:val="32"/>
          <w:szCs w:val="32"/>
        </w:rPr>
        <w:t>这一认定实际上禁止了阿里巴巴与五角大楼开展业务，它还限制了五角大楼与那些代表名单上公司进行游说的公司开展业务。</w:t>
      </w:r>
    </w:p>
    <w:p w14:paraId="5A5A9F2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此举可能会进一步加剧</w:t>
      </w:r>
      <w:r>
        <w:rPr>
          <w:rFonts w:hint="eastAsia" w:ascii="Times New Roman" w:hAnsi="Times New Roman" w:eastAsia="仿宋_GB2312"/>
          <w:sz w:val="32"/>
          <w:szCs w:val="32"/>
        </w:rPr>
        <w:t>中美</w:t>
      </w:r>
      <w:r>
        <w:rPr>
          <w:rFonts w:ascii="Times New Roman" w:hAnsi="Times New Roman" w:eastAsia="仿宋_GB2312"/>
          <w:sz w:val="32"/>
          <w:szCs w:val="32"/>
        </w:rPr>
        <w:t>之间的紧张关系。</w:t>
      </w:r>
      <w:r>
        <w:rPr>
          <w:rFonts w:ascii="Times New Roman" w:hAnsi="Times New Roman" w:eastAsia="仿宋_GB2312"/>
          <w:b/>
          <w:bCs/>
          <w:sz w:val="32"/>
          <w:szCs w:val="32"/>
        </w:rPr>
        <w:t>就在几周前，特朗普总统刚刚与中国领导人习近平会面，以努力稳定经济和政治关系。</w:t>
      </w:r>
      <w:r>
        <w:rPr>
          <w:rFonts w:ascii="Times New Roman" w:hAnsi="Times New Roman" w:eastAsia="仿宋_GB2312"/>
          <w:sz w:val="32"/>
          <w:szCs w:val="32"/>
        </w:rPr>
        <w:t>在过去的18个月里，这两个全球最大的经济体在关税、贸易以及关键技术供应链的控制权上发生了冲突。</w:t>
      </w:r>
    </w:p>
    <w:p w14:paraId="6197DDB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中国商务部本月早些时候表示，五角大楼的决定已经危害到了两位领导人达成的脆弱休战。</w:t>
      </w:r>
      <w:r>
        <w:rPr>
          <w:rFonts w:ascii="Times New Roman" w:hAnsi="Times New Roman" w:eastAsia="仿宋_GB2312"/>
          <w:b/>
          <w:bCs/>
          <w:sz w:val="32"/>
          <w:szCs w:val="32"/>
        </w:rPr>
        <w:t>该部在一份声明中说，美方“无视”两位领导人之间达成的“共识”，滥用职权并威胁到了全球供应链的稳定。</w:t>
      </w:r>
    </w:p>
    <w:p w14:paraId="1A22048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阿里巴巴在诉讼中也将国防部长皮特·海格塞斯列为被告，并表示这一认定已经造成了重大的名誉损害，并使其失去了包括游说公司在内的商务合作伙伴。</w:t>
      </w:r>
      <w:r>
        <w:rPr>
          <w:rFonts w:ascii="Times New Roman" w:hAnsi="Times New Roman" w:eastAsia="仿宋_GB2312"/>
          <w:b/>
          <w:bCs/>
          <w:sz w:val="32"/>
          <w:szCs w:val="32"/>
        </w:rPr>
        <w:t>该公司还辩称五角大楼侵犯了其宪法第一修正案赋予的权利。</w:t>
      </w:r>
    </w:p>
    <w:p w14:paraId="2613C432">
      <w:pPr>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诉讼称：“因此，该认定不仅带来了商业代价——它还剥夺了阿里巴巴发声、以及通过其选择的代表向政府请愿的能力。”</w:t>
      </w:r>
      <w:r>
        <w:rPr>
          <w:rFonts w:ascii="Times New Roman" w:hAnsi="Times New Roman" w:eastAsia="仿宋_GB2312"/>
          <w:sz w:val="32"/>
          <w:szCs w:val="32"/>
        </w:rPr>
        <w:t>目前，国防部没有立即回应置评请求。</w:t>
      </w:r>
    </w:p>
    <w:p w14:paraId="5F5A8B4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阿里巴巴说，它没有获得向中国军方供应产品的许可，也没有参与中国或美国的军事采购计划。</w:t>
      </w:r>
      <w:r>
        <w:rPr>
          <w:rFonts w:ascii="Times New Roman" w:hAnsi="Times New Roman" w:eastAsia="仿宋_GB2312"/>
          <w:b/>
          <w:bCs/>
          <w:sz w:val="32"/>
          <w:szCs w:val="32"/>
        </w:rPr>
        <w:t>该公司进一步辩称，五角大楼误解了其与中国工业和信息化部的关系。阿里巴巴表示，其与该部的往来与在中国运营的任何其他科技公司并无二致。</w:t>
      </w:r>
      <w:r>
        <w:rPr>
          <w:rFonts w:ascii="Times New Roman" w:hAnsi="Times New Roman" w:eastAsia="仿宋_GB2312"/>
          <w:sz w:val="32"/>
          <w:szCs w:val="32"/>
        </w:rPr>
        <w:t>该公司还说：“这种关系与阿里巴巴与美国政府机构的往来没有什么不同。监管机构并非关联机构。”</w:t>
      </w:r>
    </w:p>
    <w:p w14:paraId="2F9D1554">
      <w:pPr>
        <w:spacing w:line="560" w:lineRule="exact"/>
        <w:ind w:firstLine="640" w:firstLineChars="200"/>
        <w:rPr>
          <w:rFonts w:ascii="Times New Roman" w:hAnsi="Times New Roman" w:eastAsia="仿宋_GB2312"/>
          <w:sz w:val="32"/>
          <w:szCs w:val="32"/>
        </w:rPr>
      </w:pPr>
    </w:p>
    <w:bookmarkEnd w:id="2"/>
    <w:p w14:paraId="384813C1">
      <w:pPr>
        <w:spacing w:line="560" w:lineRule="exact"/>
        <w:rPr>
          <w:rFonts w:hint="eastAsia"/>
          <w:b/>
          <w:bCs/>
          <w:sz w:val="32"/>
          <w:szCs w:val="32"/>
        </w:rPr>
      </w:pPr>
      <w:r>
        <w:rPr>
          <w:rFonts w:hint="eastAsia"/>
          <w:b/>
          <w:bCs/>
          <w:sz w:val="32"/>
          <w:szCs w:val="32"/>
        </w:rPr>
        <w:t>彭博社</w:t>
      </w:r>
      <w:r>
        <w:rPr>
          <w:b/>
          <w:bCs/>
          <w:sz w:val="32"/>
          <w:szCs w:val="32"/>
        </w:rPr>
        <w:t>：字节跳动拟筹200亿海外贷款增加AI投资</w:t>
      </w:r>
    </w:p>
    <w:p w14:paraId="402A9D9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2026-06-24</w:t>
      </w:r>
    </w:p>
    <w:p w14:paraId="3DEC98D3">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据知情人士透露，TikTok的开发商字节跳动有限公司正在与银行进行初步洽谈，计划借款约200亿美元。</w:t>
      </w:r>
      <w:r>
        <w:rPr>
          <w:rFonts w:ascii="仿宋_GB2312" w:hAnsi="仿宋_GB2312" w:eastAsia="仿宋_GB2312"/>
          <w:b/>
          <w:bCs/>
          <w:sz w:val="32"/>
          <w:szCs w:val="32"/>
        </w:rPr>
        <w:t>这将是该公司迄今为止最大的一笔海外贷款，而此时该公司正在加大对人工智能的投资。</w:t>
      </w:r>
      <w:r>
        <w:rPr>
          <w:rFonts w:ascii="仿宋_GB2312" w:hAnsi="仿宋_GB2312" w:eastAsia="仿宋_GB2312"/>
          <w:sz w:val="32"/>
          <w:szCs w:val="32"/>
        </w:rPr>
        <w:t>由于涉及私人事务，上述知情人士要求匿名，他们还称目前尚不清楚字节跳动将如何使用这笔资金，并补充说，相关讨论尚处于早期阶段，细节可能会有所变动。字节跳动未回应置评请求。</w:t>
      </w:r>
    </w:p>
    <w:p w14:paraId="38AFB0DE">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据悉，这家总部位于北京的社交媒体巨头已向银行申请一笔新的贷款，期限可能为三年，并可选择延长至五年。</w:t>
      </w:r>
      <w:r>
        <w:rPr>
          <w:rFonts w:ascii="仿宋_GB2312" w:hAnsi="仿宋_GB2312" w:eastAsia="仿宋_GB2312"/>
          <w:sz w:val="32"/>
          <w:szCs w:val="32"/>
        </w:rPr>
        <w:t>目前，字节跳动已加入全球人工智能领域的加速发展行列。</w:t>
      </w:r>
      <w:r>
        <w:rPr>
          <w:rFonts w:ascii="仿宋_GB2312" w:hAnsi="仿宋_GB2312" w:eastAsia="仿宋_GB2312"/>
          <w:b/>
          <w:bCs/>
          <w:sz w:val="32"/>
          <w:szCs w:val="32"/>
        </w:rPr>
        <w:t>这家中国科技公司正在考虑今年将资本支出提高至700亿美元，用于扩建其数据中心和其他人工智能基础设施。</w:t>
      </w:r>
      <w:r>
        <w:rPr>
          <w:rFonts w:ascii="仿宋_GB2312" w:hAnsi="仿宋_GB2312" w:eastAsia="仿宋_GB2312"/>
          <w:sz w:val="32"/>
          <w:szCs w:val="32"/>
        </w:rPr>
        <w:t>如果经济和商业环境保持良好态势，明年这一数字可能攀升至1000亿美元。</w:t>
      </w:r>
    </w:p>
    <w:p w14:paraId="472102CC">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此外，四家美国超大规模数据中心运营商——亚马逊公司、Alphabet公司、微软公司和Meta Platforms公司——计划今年投入高达7250亿美元的资本，主要集中在人工智能数据中心设备方面。</w:t>
      </w:r>
    </w:p>
    <w:p w14:paraId="58753741">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在软银集团近期获得400亿美元过渡性贷款以资助其对美国科技巨头OpenAI的投资之后，字节跳动的拟议借款计划在整体低迷的亚洲银行业贷款市场中显得格外亮眼。</w:t>
      </w:r>
      <w:r>
        <w:rPr>
          <w:rFonts w:ascii="仿宋_GB2312" w:hAnsi="仿宋_GB2312" w:eastAsia="仿宋_GB2312"/>
          <w:sz w:val="32"/>
          <w:szCs w:val="32"/>
        </w:rPr>
        <w:t>彭博社汇编的数据显示，除日本以外的亚太地区以美元、欧元和日元计价的贷款规模迄今已同比下降20%，至610亿美元，创16年来新低。</w:t>
      </w:r>
    </w:p>
    <w:p w14:paraId="23D5AF14">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字节跳动上一次进入全球贷款市场是在2024年，当时它通过包括国际和中国银行在内的20多家贷款机构筹集了108亿美元。花旗集团、高盛集团和摩根大通是那次借款的协调人，所得款项部分用于为2021年筹集的50亿美元双期贷款进行再融资。</w:t>
      </w:r>
    </w:p>
    <w:p w14:paraId="57AA4C69">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字节跳动一直被视为IPO的热门候选者，但它几乎没有表现出任何急于上市的迹象。</w:t>
      </w:r>
      <w:r>
        <w:rPr>
          <w:rFonts w:ascii="仿宋_GB2312" w:hAnsi="仿宋_GB2312" w:eastAsia="仿宋_GB2312"/>
          <w:sz w:val="32"/>
          <w:szCs w:val="32"/>
        </w:rPr>
        <w:t>在过去的一年里，这家中国公司剥离了游戏等业务，以此筹集资金，并专注于其核心的人工智能和社交媒体业务。</w:t>
      </w:r>
    </w:p>
    <w:p w14:paraId="3B423030">
      <w:pPr>
        <w:spacing w:line="560" w:lineRule="exact"/>
        <w:rPr>
          <w:rFonts w:hint="eastAsia" w:ascii="Times New Roman" w:hAnsi="Times New Roman" w:eastAsia="仿宋_GB2312"/>
          <w:sz w:val="32"/>
          <w:szCs w:val="32"/>
        </w:rPr>
      </w:pPr>
    </w:p>
    <w:p w14:paraId="753F6552">
      <w:pPr>
        <w:spacing w:line="560" w:lineRule="exact"/>
        <w:rPr>
          <w:b/>
          <w:bCs/>
          <w:sz w:val="32"/>
          <w:szCs w:val="32"/>
        </w:rPr>
      </w:pPr>
      <w:bookmarkStart w:id="5" w:name="OLE_LINK36"/>
      <w:r>
        <w:rPr>
          <w:rFonts w:hint="eastAsia"/>
          <w:b/>
          <w:bCs/>
          <w:sz w:val="32"/>
          <w:szCs w:val="32"/>
        </w:rPr>
        <w:t>CNBC：</w:t>
      </w:r>
      <w:r>
        <w:rPr>
          <w:b/>
          <w:bCs/>
          <w:sz w:val="32"/>
          <w:szCs w:val="32"/>
        </w:rPr>
        <w:t>摩根士丹利大幅上调中国人形机器人出货预测</w:t>
      </w:r>
    </w:p>
    <w:p w14:paraId="1C1EEA5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2026-06-24</w:t>
      </w:r>
    </w:p>
    <w:p w14:paraId="0C4E66D5">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摩根士丹利大幅上调了对中国人形机器人市场的预期，称该行业从演示阶段向商业部署阶段的转变速度比预期更快。</w:t>
      </w:r>
      <w:r>
        <w:rPr>
          <w:rFonts w:ascii="仿宋_GB2312" w:hAnsi="仿宋_GB2312" w:eastAsia="仿宋_GB2312"/>
          <w:sz w:val="32"/>
          <w:szCs w:val="32"/>
        </w:rPr>
        <w:t>周二，该银行第二次上调了对中国人形机器人今年出货量的预测，预计今年出货量将达到5万台，几乎是此前预测的2.8万台的两倍。该银行此前已将其1月份的最初预测值1.4万台翻了一番。</w:t>
      </w:r>
    </w:p>
    <w:p w14:paraId="36CBB2DA">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摩根士丹利估计，中国的人形机器人市场今年将达到20亿美元，到2030年将增长至150亿美元。</w:t>
      </w:r>
      <w:r>
        <w:rPr>
          <w:rFonts w:ascii="仿宋_GB2312" w:hAnsi="仿宋_GB2312" w:eastAsia="仿宋_GB2312"/>
          <w:sz w:val="32"/>
          <w:szCs w:val="32"/>
        </w:rPr>
        <w:t>届时，年出货量预计将达到44.6万台。该预测仅包含对外销售，不包括原型机、预购试用或内部使用所生产的机器人。</w:t>
      </w:r>
    </w:p>
    <w:p w14:paraId="3F9914E2">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摩根士丹利股票分析师盛忠周二在一份报告中表示：“商业验证、政策支持和供应链反馈都表明，人形机器人在中国的普及速度将会更快。”</w:t>
      </w:r>
      <w:r>
        <w:rPr>
          <w:rFonts w:ascii="仿宋_GB2312" w:hAnsi="仿宋_GB2312" w:eastAsia="仿宋_GB2312"/>
          <w:sz w:val="32"/>
          <w:szCs w:val="32"/>
        </w:rPr>
        <w:t>中国加快了主导该行业的步伐，越来越多的国内制造商竞相扩大生产规模，并将机器人部署到工厂、便利店和餐馆等实际环境中。</w:t>
      </w:r>
    </w:p>
    <w:p w14:paraId="6EC30B13">
      <w:pPr>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中国</w:t>
      </w:r>
      <w:r>
        <w:rPr>
          <w:rFonts w:ascii="仿宋_GB2312" w:hAnsi="仿宋_GB2312" w:eastAsia="仿宋_GB2312"/>
          <w:sz w:val="32"/>
          <w:szCs w:val="32"/>
        </w:rPr>
        <w:t>方面还将“具身人工智能”的发展列为未来五年的优先事项，指示地方政府为初创企业提供土地和办公空间补贴，同时命令银行延长贷款期限。</w:t>
      </w:r>
    </w:p>
    <w:p w14:paraId="4B8CC419">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据市场研究公司Omdia的数据显示，去年全球人形机器人出货量约为13000台。中国企业占据了出货量前五名的大部分席位，美国竞争对手Figure AI位列第七，</w:t>
      </w:r>
      <w:r>
        <w:rPr>
          <w:rFonts w:ascii="仿宋_GB2312" w:hAnsi="仿宋_GB2312" w:eastAsia="仿宋_GB2312"/>
          <w:sz w:val="32"/>
          <w:szCs w:val="32"/>
        </w:rPr>
        <w:t>特斯拉排名第九。特斯拉首席执行官埃隆·马斯克今年早些时候曾表示，该公司的Optimus人形机器人要到2027年底才会开始向公众销售。</w:t>
      </w:r>
    </w:p>
    <w:p w14:paraId="724BD802">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麦肯锡大中华区高级合伙人兼董事长吴耀祥表示，对于关注中国快速科技发展的投资者而言，人形机器人可能成为“下一个重大前沿领域”。</w:t>
      </w:r>
      <w:r>
        <w:rPr>
          <w:rFonts w:ascii="仿宋_GB2312" w:hAnsi="仿宋_GB2312" w:eastAsia="仿宋_GB2312"/>
          <w:sz w:val="32"/>
          <w:szCs w:val="32"/>
        </w:rPr>
        <w:t>Ngai周三在大连举行的世界经济论坛年会期间接受采访时表示，在中国的街头会看到各种各样的初创公司和更先进的公司，到处都是机器人。</w:t>
      </w:r>
      <w:r>
        <w:rPr>
          <w:rFonts w:ascii="仿宋_GB2312" w:hAnsi="仿宋_GB2312" w:eastAsia="仿宋_GB2312"/>
          <w:b/>
          <w:bCs/>
          <w:sz w:val="32"/>
          <w:szCs w:val="32"/>
        </w:rPr>
        <w:t>如果现在去任何一家中国工厂，会发现那里的自动化和机器人应用比世界上任何其他地方都多。</w:t>
      </w:r>
    </w:p>
    <w:p w14:paraId="62AAB844">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摩根士丹利的供应链实地研究也称，商业化进程正在加快，工厂和物流环境，以及无人零售店和互动商业服务的进一步推广，都体现了这一点。</w:t>
      </w:r>
      <w:r>
        <w:rPr>
          <w:rFonts w:ascii="仿宋_GB2312" w:hAnsi="仿宋_GB2312" w:eastAsia="仿宋_GB2312"/>
          <w:b/>
          <w:bCs/>
          <w:sz w:val="32"/>
          <w:szCs w:val="32"/>
        </w:rPr>
        <w:t>该银行将上海上市的领航机器人公司列为人形机器人市场崛起的主要受益者，并将其12个月目标价从269元人民币上调至464元人民币。</w:t>
      </w:r>
      <w:r>
        <w:rPr>
          <w:rFonts w:ascii="仿宋_GB2312" w:hAnsi="仿宋_GB2312" w:eastAsia="仿宋_GB2312"/>
          <w:sz w:val="32"/>
          <w:szCs w:val="32"/>
        </w:rPr>
        <w:t>这家总部位于苏州的公司为优必选等国内人形机器人制造商以及加尔博特提供精密机器人零部件。</w:t>
      </w:r>
    </w:p>
    <w:p w14:paraId="4A6BE5FD">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盛忠表示，在强劲的出货量和强大的客户基础的支持下，领航机器人今年有望占据40%的全球市场份额，长期来看有望占据25%的市场份额。</w:t>
      </w:r>
    </w:p>
    <w:p w14:paraId="2862FA39">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中国机器人企业也越来越关注海外扩张。</w:t>
      </w:r>
      <w:r>
        <w:rPr>
          <w:rFonts w:ascii="仿宋_GB2312" w:hAnsi="仿宋_GB2312" w:eastAsia="仿宋_GB2312"/>
          <w:sz w:val="32"/>
          <w:szCs w:val="32"/>
        </w:rPr>
        <w:t>总部位于上海的机器人公司Seer Intelligent于周三在香港开始交易。该公司首席运营官Jonathan Fan表示，自2021年以来，该公司已将业务拓展到中国以外的地区，去年来自65个以上的海外收入占其总销售额的18%。</w:t>
      </w:r>
    </w:p>
    <w:p w14:paraId="782611FA">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范先生周一接受采访时说，地缘政治的不确定性和持续不断的贸易紧张局势仍然是最大的不利因素。</w:t>
      </w:r>
      <w:r>
        <w:rPr>
          <w:rFonts w:ascii="仿宋_GB2312" w:hAnsi="仿宋_GB2312" w:eastAsia="仿宋_GB2312"/>
          <w:sz w:val="32"/>
          <w:szCs w:val="32"/>
        </w:rPr>
        <w:t>公司正专注于地域多元化，以减少对单一市场的依赖，并严格遵守当地法规。</w:t>
      </w:r>
    </w:p>
    <w:p w14:paraId="678CA9A4">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近年来，</w:t>
      </w:r>
      <w:r>
        <w:rPr>
          <w:rFonts w:hint="eastAsia" w:ascii="仿宋_GB2312" w:hAnsi="仿宋_GB2312" w:eastAsia="仿宋_GB2312"/>
          <w:sz w:val="32"/>
          <w:szCs w:val="32"/>
        </w:rPr>
        <w:t>美国</w:t>
      </w:r>
      <w:r>
        <w:rPr>
          <w:rFonts w:ascii="仿宋_GB2312" w:hAnsi="仿宋_GB2312" w:eastAsia="仿宋_GB2312"/>
          <w:sz w:val="32"/>
          <w:szCs w:val="32"/>
        </w:rPr>
        <w:t>的政策制定者对中国在人工智能领域的进步感到担忧。苏珊娜·诺塞尔本周在《外交政策》杂志上发表评论文章说，</w:t>
      </w:r>
      <w:r>
        <w:rPr>
          <w:rFonts w:ascii="仿宋_GB2312" w:hAnsi="仿宋_GB2312" w:eastAsia="仿宋_GB2312"/>
          <w:b/>
          <w:bCs/>
          <w:sz w:val="32"/>
          <w:szCs w:val="32"/>
        </w:rPr>
        <w:t>如果</w:t>
      </w:r>
      <w:r>
        <w:rPr>
          <w:rFonts w:hint="eastAsia" w:ascii="仿宋_GB2312" w:hAnsi="仿宋_GB2312" w:eastAsia="仿宋_GB2312"/>
          <w:b/>
          <w:bCs/>
          <w:sz w:val="32"/>
          <w:szCs w:val="32"/>
        </w:rPr>
        <w:t>美国</w:t>
      </w:r>
      <w:r>
        <w:rPr>
          <w:rFonts w:ascii="仿宋_GB2312" w:hAnsi="仿宋_GB2312" w:eastAsia="仿宋_GB2312"/>
          <w:b/>
          <w:bCs/>
          <w:sz w:val="32"/>
          <w:szCs w:val="32"/>
        </w:rPr>
        <w:t>仅仅将这场竞赛视为达到新能力基准的竞赛，它可能在发明创造方面领先，但在影响人工智能在全球的使用地点和方式方面落后。</w:t>
      </w:r>
      <w:r>
        <w:rPr>
          <w:rFonts w:ascii="仿宋_GB2312" w:hAnsi="仿宋_GB2312" w:eastAsia="仿宋_GB2312"/>
          <w:sz w:val="32"/>
          <w:szCs w:val="32"/>
        </w:rPr>
        <w:t>她还表示，针对美国人工智能技术栈的销售活动不足以快速推动其普及，从而跟上中国的步伐。</w:t>
      </w:r>
    </w:p>
    <w:p w14:paraId="16E4D31D">
      <w:pPr>
        <w:spacing w:line="560" w:lineRule="exact"/>
        <w:rPr>
          <w:rFonts w:hint="eastAsia" w:ascii="Times New Roman" w:hAnsi="Times New Roman" w:eastAsia="仿宋_GB2312"/>
          <w:sz w:val="32"/>
          <w:szCs w:val="32"/>
        </w:rPr>
      </w:pPr>
    </w:p>
    <w:bookmarkEnd w:id="3"/>
    <w:bookmarkEnd w:id="5"/>
    <w:p w14:paraId="7C3086C7">
      <w:pPr>
        <w:spacing w:line="560" w:lineRule="exact"/>
        <w:rPr>
          <w:rFonts w:hint="eastAsia"/>
          <w:b/>
          <w:bCs/>
          <w:sz w:val="32"/>
          <w:szCs w:val="32"/>
        </w:rPr>
      </w:pPr>
      <w:r>
        <w:rPr>
          <w:rFonts w:hint="eastAsia"/>
          <w:b/>
          <w:bCs/>
          <w:sz w:val="32"/>
          <w:szCs w:val="32"/>
        </w:rPr>
        <w:t>CNBC、彭博社：</w:t>
      </w:r>
      <w:r>
        <w:rPr>
          <w:b/>
          <w:bCs/>
          <w:sz w:val="32"/>
          <w:szCs w:val="32"/>
        </w:rPr>
        <w:t>OpenAI与博通发布首款定制AI芯片</w:t>
      </w:r>
    </w:p>
    <w:p w14:paraId="20F5E1D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2026-06-24</w:t>
      </w:r>
    </w:p>
    <w:p w14:paraId="2FBDE202">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OpenAI和博通公司于周三发布了双方合作开发的首款定制人工智能芯片，名为Jalape</w:t>
      </w:r>
      <w:r>
        <w:rPr>
          <w:rFonts w:ascii="Calibri" w:eastAsia="仿宋_GB2312" w:cs="Calibri"/>
          <w:sz w:val="32"/>
          <w:szCs w:val="32"/>
        </w:rPr>
        <w:t>ñ</w:t>
      </w:r>
      <w:r>
        <w:rPr>
          <w:rFonts w:ascii="仿宋_GB2312" w:hAnsi="仿宋_GB2312" w:eastAsia="仿宋_GB2312"/>
          <w:sz w:val="32"/>
          <w:szCs w:val="32"/>
        </w:rPr>
        <w:t>o。</w:t>
      </w:r>
      <w:r>
        <w:rPr>
          <w:rFonts w:ascii="仿宋_GB2312" w:hAnsi="仿宋_GB2312" w:eastAsia="仿宋_GB2312"/>
          <w:b/>
          <w:bCs/>
          <w:sz w:val="32"/>
          <w:szCs w:val="32"/>
        </w:rPr>
        <w:t>这标志着ChatGPT的制造商首次正式进军人工智能芯片领域，是该公司为了更好地运行其人工智能产品、通过定制硬件来获得竞争优势的重要举措。</w:t>
      </w:r>
      <w:r>
        <w:rPr>
          <w:rFonts w:ascii="仿宋_GB2312" w:hAnsi="仿宋_GB2312" w:eastAsia="仿宋_GB2312"/>
          <w:sz w:val="32"/>
          <w:szCs w:val="32"/>
        </w:rPr>
        <w:t>根据官方发布的新闻稿，Jalape</w:t>
      </w:r>
      <w:r>
        <w:rPr>
          <w:rFonts w:ascii="Calibri" w:eastAsia="仿宋_GB2312" w:cs="Calibri"/>
          <w:sz w:val="32"/>
          <w:szCs w:val="32"/>
        </w:rPr>
        <w:t>ñ</w:t>
      </w:r>
      <w:r>
        <w:rPr>
          <w:rFonts w:ascii="仿宋_GB2312" w:hAnsi="仿宋_GB2312" w:eastAsia="仿宋_GB2312"/>
          <w:sz w:val="32"/>
          <w:szCs w:val="32"/>
        </w:rPr>
        <w:t>o芯片是OpenAI构建其模型和产品背后的完整技术栈计划中的重要一步。</w:t>
      </w:r>
    </w:p>
    <w:p w14:paraId="229428BE">
      <w:pPr>
        <w:spacing w:line="560" w:lineRule="exact"/>
        <w:ind w:firstLine="643" w:firstLineChars="200"/>
        <w:rPr>
          <w:rFonts w:ascii="仿宋_GB2312" w:hAnsi="仿宋_GB2312" w:eastAsia="仿宋_GB2312"/>
          <w:sz w:val="32"/>
          <w:szCs w:val="32"/>
        </w:rPr>
      </w:pPr>
      <w:r>
        <w:rPr>
          <w:rFonts w:ascii="仿宋_GB2312" w:hAnsi="仿宋_GB2312" w:eastAsia="仿宋_GB2312"/>
          <w:b/>
          <w:bCs/>
          <w:sz w:val="32"/>
          <w:szCs w:val="32"/>
        </w:rPr>
        <w:t>该芯片将由博通公司负责制造，并由OpenAI主要用于“推理”业务，即在ChatGPT和其他应用程序中向用户提供其AI模型的计算密集型过程。</w:t>
      </w:r>
      <w:r>
        <w:rPr>
          <w:rFonts w:ascii="仿宋_GB2312" w:hAnsi="仿宋_GB2312" w:eastAsia="仿宋_GB2312"/>
          <w:sz w:val="32"/>
          <w:szCs w:val="32"/>
        </w:rPr>
        <w:t>博通首席执行官陈福（霍克·谭）在接受采访时透露，到目前为止，与典型的人工智能图形处理器（GPU）相比，该加速器已显示出约50%的成本节约。OpenAI方面也表示，这款新型芯片的实物样品已于周三交付给公司，</w:t>
      </w:r>
      <w:r>
        <w:rPr>
          <w:rFonts w:ascii="仿宋_GB2312" w:hAnsi="仿宋_GB2312" w:eastAsia="仿宋_GB2312"/>
          <w:b/>
          <w:bCs/>
          <w:sz w:val="32"/>
          <w:szCs w:val="32"/>
        </w:rPr>
        <w:t>虽然目前仍在评估测试版本，但早期数据显示，Jalape</w:t>
      </w:r>
      <w:r>
        <w:rPr>
          <w:rFonts w:ascii="Calibri" w:eastAsia="仿宋_GB2312" w:cs="Calibri"/>
          <w:b/>
          <w:bCs/>
          <w:sz w:val="32"/>
          <w:szCs w:val="32"/>
        </w:rPr>
        <w:t>ñ</w:t>
      </w:r>
      <w:r>
        <w:rPr>
          <w:rFonts w:ascii="仿宋_GB2312" w:hAnsi="仿宋_GB2312" w:eastAsia="仿宋_GB2312"/>
          <w:b/>
          <w:bCs/>
          <w:sz w:val="32"/>
          <w:szCs w:val="32"/>
        </w:rPr>
        <w:t>o芯片的每瓦能耗性能已经远超目前最先进的技术。</w:t>
      </w:r>
    </w:p>
    <w:p w14:paraId="28EBB57A">
      <w:pPr>
        <w:spacing w:line="560" w:lineRule="exact"/>
        <w:ind w:firstLine="640" w:firstLineChars="200"/>
        <w:rPr>
          <w:rFonts w:ascii="仿宋_GB2312" w:hAnsi="仿宋_GB2312" w:eastAsia="仿宋_GB2312"/>
          <w:b/>
          <w:bCs/>
          <w:sz w:val="32"/>
          <w:szCs w:val="32"/>
        </w:rPr>
      </w:pPr>
      <w:r>
        <w:rPr>
          <w:rFonts w:ascii="仿宋_GB2312" w:hAnsi="仿宋_GB2312" w:eastAsia="仿宋_GB2312"/>
          <w:sz w:val="32"/>
          <w:szCs w:val="32"/>
        </w:rPr>
        <w:t>在研发流程上，OpenAI总裁格雷格·布罗克曼称，</w:t>
      </w:r>
      <w:r>
        <w:rPr>
          <w:rFonts w:ascii="仿宋_GB2312" w:hAnsi="仿宋_GB2312" w:eastAsia="仿宋_GB2312"/>
          <w:b/>
          <w:bCs/>
          <w:sz w:val="32"/>
          <w:szCs w:val="32"/>
        </w:rPr>
        <w:t>这些芯片是在公司人工智能模型的帮助下，从头到尾进行设计，仅历时九个月的创纪录时间便研发完成。</w:t>
      </w:r>
      <w:r>
        <w:rPr>
          <w:rFonts w:ascii="仿宋_GB2312" w:hAnsi="仿宋_GB2312" w:eastAsia="仿宋_GB2312"/>
          <w:sz w:val="32"/>
          <w:szCs w:val="32"/>
        </w:rPr>
        <w:t>布罗克曼说：“我们的模型能够加速这一进程，这让我们非常惊讶。”业内专家表示，</w:t>
      </w:r>
      <w:r>
        <w:rPr>
          <w:rFonts w:ascii="仿宋_GB2312" w:hAnsi="仿宋_GB2312" w:eastAsia="仿宋_GB2312"/>
          <w:b/>
          <w:bCs/>
          <w:sz w:val="32"/>
          <w:szCs w:val="32"/>
        </w:rPr>
        <w:t>这款芯片是一款专用集成电路（ASIC），虽然它的灵活性不如英伟达的GPU，但价格也更低，并且可以针对特定的AI任务进行定制设计。</w:t>
      </w:r>
      <w:r>
        <w:rPr>
          <w:rFonts w:ascii="仿宋_GB2312" w:hAnsi="仿宋_GB2312" w:eastAsia="仿宋_GB2312"/>
          <w:sz w:val="32"/>
          <w:szCs w:val="32"/>
        </w:rPr>
        <w:t>OpenAI硬件负责人理查德·何也说，这款芯片是为大型语言模型（LLM）设计的，其推理方法遵循了这家初创公司的思路，同时这也是一款用途非常广泛的设备，能够应对未来领域的创新。</w:t>
      </w:r>
      <w:r>
        <w:rPr>
          <w:rFonts w:ascii="仿宋_GB2312" w:hAnsi="仿宋_GB2312" w:eastAsia="仿宋_GB2312"/>
          <w:b/>
          <w:bCs/>
          <w:sz w:val="32"/>
          <w:szCs w:val="32"/>
        </w:rPr>
        <w:t>此外，OpenAI还自主研发了将要使用该芯片的计算机系统的大部分组件。</w:t>
      </w:r>
    </w:p>
    <w:p w14:paraId="759DC27D">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关于部署时间表与未来规划，两</w:t>
      </w:r>
      <w:r>
        <w:rPr>
          <w:rFonts w:ascii="仿宋_GB2312" w:hAnsi="仿宋_GB2312" w:eastAsia="仿宋_GB2312"/>
          <w:b/>
          <w:bCs/>
          <w:sz w:val="32"/>
          <w:szCs w:val="32"/>
        </w:rPr>
        <w:t>家公司表示其目标是在2026年底前初步部署Jalape</w:t>
      </w:r>
      <w:r>
        <w:rPr>
          <w:rFonts w:ascii="Calibri" w:eastAsia="仿宋_GB2312" w:cs="Calibri"/>
          <w:b/>
          <w:bCs/>
          <w:sz w:val="32"/>
          <w:szCs w:val="32"/>
        </w:rPr>
        <w:t>ñ</w:t>
      </w:r>
      <w:r>
        <w:rPr>
          <w:rFonts w:ascii="仿宋_GB2312" w:hAnsi="仿宋_GB2312" w:eastAsia="仿宋_GB2312"/>
          <w:b/>
          <w:bCs/>
          <w:sz w:val="32"/>
          <w:szCs w:val="32"/>
        </w:rPr>
        <w:t>o芯片，并在未来几年内扩大部署规模。</w:t>
      </w:r>
      <w:r>
        <w:rPr>
          <w:rFonts w:ascii="仿宋_GB2312" w:hAnsi="仿宋_GB2312" w:eastAsia="仿宋_GB2312"/>
          <w:sz w:val="32"/>
          <w:szCs w:val="32"/>
        </w:rPr>
        <w:t>霍克·谭表示，</w:t>
      </w:r>
      <w:r>
        <w:rPr>
          <w:rFonts w:ascii="仿宋_GB2312" w:hAnsi="仿宋_GB2312" w:eastAsia="仿宋_GB2312"/>
          <w:b/>
          <w:bCs/>
          <w:sz w:val="32"/>
          <w:szCs w:val="32"/>
        </w:rPr>
        <w:t>2026年底将首先进行小型原型开发，并在2027年开始看到它真正加速发展，最终在2028年上半年全力以赴。</w:t>
      </w:r>
      <w:r>
        <w:rPr>
          <w:rFonts w:ascii="仿宋_GB2312" w:hAnsi="仿宋_GB2312" w:eastAsia="仿宋_GB2312"/>
          <w:sz w:val="32"/>
          <w:szCs w:val="32"/>
        </w:rPr>
        <w:t>最终定型的芯片将从今年晚些时候开始，集成到OpenAI的支持者微软公司和其他合作伙伴的大型数据中心中。谭预计，双方明年部署的芯片总量将超过他此前预测的1.3吉瓦，并称其六家客户的计算需求简直是永无止境。此外，双方已制定了未来芯片的发展路线图，下一代芯片计划于2028年推出，之后每年都会推出新款。</w:t>
      </w:r>
    </w:p>
    <w:p w14:paraId="403B25F4">
      <w:pPr>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在供应链与基础设施布局方面，</w:t>
      </w:r>
      <w:r>
        <w:rPr>
          <w:rFonts w:ascii="仿宋_GB2312" w:hAnsi="仿宋_GB2312" w:eastAsia="仿宋_GB2312"/>
          <w:b/>
          <w:bCs/>
          <w:sz w:val="32"/>
          <w:szCs w:val="32"/>
        </w:rPr>
        <w:t>虽然OpenAI仍然严重依赖市场领导者英伟达公司的芯片，但这家初创公司一直在努力拓宽供应商组合。</w:t>
      </w:r>
      <w:r>
        <w:rPr>
          <w:rFonts w:ascii="仿宋_GB2312" w:hAnsi="仿宋_GB2312" w:eastAsia="仿宋_GB2312"/>
          <w:sz w:val="32"/>
          <w:szCs w:val="32"/>
        </w:rPr>
        <w:t>今年早些时候，OpenAI与亚马逊网络服务（AWS）达成协议，其中包括使用AWS的Trainium AI芯片，并与英伟达的竞争对手AMD以及Cerebras公司签署了相关协议。理查德·何称，对于OpenAI而言，</w:t>
      </w:r>
      <w:r>
        <w:rPr>
          <w:rFonts w:ascii="仿宋_GB2312" w:hAnsi="仿宋_GB2312" w:eastAsia="仿宋_GB2312"/>
          <w:b/>
          <w:bCs/>
          <w:sz w:val="32"/>
          <w:szCs w:val="32"/>
        </w:rPr>
        <w:t>这款芯片标志着其逐步掌控所依赖的基础设施各个层面的开端，不过公司依然希望保留是否允许其他模型制造商使用其芯片的选择权。</w:t>
      </w:r>
    </w:p>
    <w:p w14:paraId="6C6CD942">
      <w:pPr>
        <w:spacing w:line="560" w:lineRule="exact"/>
        <w:ind w:firstLine="640" w:firstLineChars="200"/>
        <w:rPr>
          <w:rFonts w:hint="eastAsia" w:ascii="仿宋_GB2312" w:hAnsi="仿宋_GB2312" w:eastAsia="仿宋_GB2312"/>
          <w:sz w:val="32"/>
          <w:szCs w:val="32"/>
        </w:rPr>
      </w:pPr>
      <w:r>
        <w:rPr>
          <w:rFonts w:ascii="仿宋_GB2312" w:hAnsi="仿宋_GB2312" w:eastAsia="仿宋_GB2312"/>
          <w:sz w:val="32"/>
          <w:szCs w:val="32"/>
        </w:rPr>
        <w:t>针对OpenAI计划斥资数百亿美元购买博通芯片的资金来源，理查德·何拒绝透露具体的融资细节，并表示融资安排将在处理器订单全部完成后最终确定。</w:t>
      </w:r>
      <w:r>
        <w:rPr>
          <w:rFonts w:ascii="仿宋_GB2312" w:hAnsi="仿宋_GB2312" w:eastAsia="仿宋_GB2312"/>
          <w:b/>
          <w:bCs/>
          <w:sz w:val="32"/>
          <w:szCs w:val="32"/>
        </w:rPr>
        <w:t>霍克·谭则重申，博通已与阿波罗全球管理公司和黑石集团共同设立了芯片融资机制，该机制也将为OpenAI提供帮助。</w:t>
      </w:r>
      <w:r>
        <w:rPr>
          <w:rFonts w:ascii="仿宋_GB2312" w:hAnsi="仿宋_GB2312" w:eastAsia="仿宋_GB2312"/>
          <w:sz w:val="32"/>
          <w:szCs w:val="32"/>
        </w:rPr>
        <w:t>据悉，OpenAI在今年早些时候已经筹集了1220亿美元的资金，以支持其在芯片、数据中心和人才方面的巨额投入。</w:t>
      </w:r>
    </w:p>
    <w:sectPr>
      <w:footerReference r:id="rId6" w:type="default"/>
      <w:pgSz w:w="11906" w:h="16838"/>
      <w:pgMar w:top="1797" w:right="1440" w:bottom="1797" w:left="144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AA9994B-5C06-4FCA-99BA-CA9892FD179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4F6A37C-06BE-4E84-8FC7-0122CD720A1E}"/>
  </w:font>
  <w:font w:name="Arial">
    <w:panose1 w:val="020B0604020202020204"/>
    <w:charset w:val="00"/>
    <w:family w:val="swiss"/>
    <w:pitch w:val="default"/>
    <w:sig w:usb0="E0002EFF" w:usb1="C000785B" w:usb2="00000009" w:usb3="00000000" w:csb0="400001FF" w:csb1="FFFF0000"/>
  </w:font>
  <w:font w:name="方正楷体_GB2312">
    <w:altName w:val="微软雅黑"/>
    <w:panose1 w:val="020B0604020202020204"/>
    <w:charset w:val="86"/>
    <w:family w:val="auto"/>
    <w:pitch w:val="default"/>
    <w:sig w:usb0="00000000" w:usb1="00000000" w:usb2="00000012" w:usb3="00000000" w:csb0="00040001" w:csb1="00000000"/>
    <w:embedRegular r:id="rId3" w:fontKey="{A4AA1EA5-2FEC-40C7-A30D-26C058F6F1F1}"/>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embedRegular r:id="rId4" w:fontKey="{F8CA7D51-3BA7-4494-A63C-8A34011C8C99}"/>
  </w:font>
  <w:font w:name="楷体_GB2312">
    <w:panose1 w:val="02010609030101010101"/>
    <w:charset w:val="86"/>
    <w:family w:val="modern"/>
    <w:pitch w:val="default"/>
    <w:sig w:usb0="00000001" w:usb1="080E0000" w:usb2="00000000" w:usb3="00000000" w:csb0="00040000" w:csb1="00000000"/>
    <w:embedRegular r:id="rId5" w:fontKey="{2A48ECA6-0E02-4E1A-93AE-7BE4FF4907E0}"/>
  </w:font>
  <w:font w:name="Wingdings">
    <w:panose1 w:val="05000000000000000000"/>
    <w:charset w:val="00"/>
    <w:family w:val="decorative"/>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embedRegular r:id="rId6" w:fontKey="{22691B57-54D2-4A07-A638-B0F1DB8BA958}"/>
  </w:font>
  <w:font w:name="仿宋_GB2312">
    <w:panose1 w:val="02010609030101010101"/>
    <w:charset w:val="86"/>
    <w:family w:val="modern"/>
    <w:pitch w:val="default"/>
    <w:sig w:usb0="00000001" w:usb1="080E0000" w:usb2="00000000" w:usb3="00000000" w:csb0="00040000" w:csb1="00000000"/>
    <w:embedRegular r:id="rId7" w:fontKey="{5F12C0CE-D650-4EE6-81E1-71D8692D5528}"/>
  </w:font>
  <w:font w:name="KSOF80329041">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AF5AF">
    <w:pPr>
      <w:pStyle w:val="8"/>
      <w:jc w:val="both"/>
    </w:pPr>
  </w:p>
  <w:p w14:paraId="0BF02FC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4487C">
    <w:pPr>
      <w:pStyle w:val="8"/>
      <w:jc w:val="both"/>
    </w:pPr>
    <w:r>
      <w:rPr>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26416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64160" cy="1828800"/>
                      </a:xfrm>
                      <a:prstGeom prst="rect">
                        <a:avLst/>
                      </a:prstGeom>
                      <a:noFill/>
                      <a:ln w="6350">
                        <a:noFill/>
                      </a:ln>
                      <a:effectLst/>
                    </wps:spPr>
                    <wps:txbx>
                      <w:txbxContent>
                        <w:p w14:paraId="305B0EB1">
                          <w:pPr>
                            <w:pStyle w:val="8"/>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20.8pt;mso-position-horizontal:center;mso-position-horizontal-relative:margin;z-index:251660288;mso-width-relative:page;mso-height-relative:page;" filled="f" stroked="f" coordsize="21600,21600" o:gfxdata="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wVmtYtQAAAAEAQAADwAAAAAAAAABACAAAAAiAAAAZHJzL2Rvd25yZXYu&#10;eG1sUEsBAhQAFAAAAAgAh07iQByz6fM4AgAAZAQAAA4AAAAAAAAAAQAgAAAAIwEAAGRycy9lMm9E&#10;b2MueG1sUEsFBgAAAAAGAAYAWQEAAM0FAAAAAA==&#10;">
              <v:fill on="f" focussize="0,0"/>
              <v:stroke on="f" weight="0.5pt"/>
              <v:imagedata o:title=""/>
              <o:lock v:ext="edit" aspectratio="f"/>
              <v:textbox inset="0mm,0mm,0mm,0mm" style="mso-fit-shape-to-text:t;">
                <w:txbxContent>
                  <w:p w14:paraId="305B0EB1">
                    <w:pPr>
                      <w:pStyle w:val="8"/>
                      <w:jc w:val="center"/>
                    </w:pPr>
                    <w:r>
                      <w:fldChar w:fldCharType="begin"/>
                    </w:r>
                    <w:r>
                      <w:instrText xml:space="preserve"> PAGE   \* MERGEFORMAT </w:instrText>
                    </w:r>
                    <w:r>
                      <w:fldChar w:fldCharType="separate"/>
                    </w:r>
                    <w:r>
                      <w:t>8</w:t>
                    </w:r>
                    <w:r>
                      <w:fldChar w:fldCharType="end"/>
                    </w:r>
                  </w:p>
                </w:txbxContent>
              </v:textbox>
            </v:shape>
          </w:pict>
        </mc:Fallback>
      </mc:AlternateContent>
    </w:r>
  </w:p>
  <w:p w14:paraId="5F6DC81D">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C55B2"/>
    <w:multiLevelType w:val="singleLevel"/>
    <w:tmpl w:val="DFEC55B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wZWQ2ZGIyMWFhMWQ1ODllMmQyNzY4MzJjZWJhOWIifQ=="/>
  </w:docVars>
  <w:rsids>
    <w:rsidRoot w:val="00A0579C"/>
    <w:rsid w:val="000029DA"/>
    <w:rsid w:val="00017102"/>
    <w:rsid w:val="00021F67"/>
    <w:rsid w:val="00026E93"/>
    <w:rsid w:val="00032C1C"/>
    <w:rsid w:val="00050127"/>
    <w:rsid w:val="000A6A0F"/>
    <w:rsid w:val="000D08CB"/>
    <w:rsid w:val="000D0B97"/>
    <w:rsid w:val="000D39D2"/>
    <w:rsid w:val="00122DFA"/>
    <w:rsid w:val="00123009"/>
    <w:rsid w:val="00124FE9"/>
    <w:rsid w:val="00132036"/>
    <w:rsid w:val="00147244"/>
    <w:rsid w:val="00194152"/>
    <w:rsid w:val="0019550B"/>
    <w:rsid w:val="001A7D66"/>
    <w:rsid w:val="001D479A"/>
    <w:rsid w:val="00201413"/>
    <w:rsid w:val="00202C9C"/>
    <w:rsid w:val="002077E7"/>
    <w:rsid w:val="00221C4B"/>
    <w:rsid w:val="0022317B"/>
    <w:rsid w:val="00224E56"/>
    <w:rsid w:val="00231851"/>
    <w:rsid w:val="00231D35"/>
    <w:rsid w:val="00242E03"/>
    <w:rsid w:val="002625B3"/>
    <w:rsid w:val="00263C29"/>
    <w:rsid w:val="002D6100"/>
    <w:rsid w:val="002F339D"/>
    <w:rsid w:val="002F7D06"/>
    <w:rsid w:val="0031162C"/>
    <w:rsid w:val="00323ED3"/>
    <w:rsid w:val="00325A17"/>
    <w:rsid w:val="003302D5"/>
    <w:rsid w:val="00335911"/>
    <w:rsid w:val="00335D3D"/>
    <w:rsid w:val="003707AE"/>
    <w:rsid w:val="003802D1"/>
    <w:rsid w:val="0038177A"/>
    <w:rsid w:val="00382542"/>
    <w:rsid w:val="003A2864"/>
    <w:rsid w:val="003C1299"/>
    <w:rsid w:val="003C5902"/>
    <w:rsid w:val="0041327E"/>
    <w:rsid w:val="00414E77"/>
    <w:rsid w:val="00423894"/>
    <w:rsid w:val="004446A0"/>
    <w:rsid w:val="004775AE"/>
    <w:rsid w:val="004A493C"/>
    <w:rsid w:val="004A7350"/>
    <w:rsid w:val="004B4465"/>
    <w:rsid w:val="004C6CA1"/>
    <w:rsid w:val="004E4BC9"/>
    <w:rsid w:val="0050126F"/>
    <w:rsid w:val="0052252C"/>
    <w:rsid w:val="005259E8"/>
    <w:rsid w:val="005654FA"/>
    <w:rsid w:val="00590637"/>
    <w:rsid w:val="00597EFF"/>
    <w:rsid w:val="005A2257"/>
    <w:rsid w:val="005A61F3"/>
    <w:rsid w:val="005B6098"/>
    <w:rsid w:val="005E0065"/>
    <w:rsid w:val="005E7B48"/>
    <w:rsid w:val="005E7F59"/>
    <w:rsid w:val="005F2574"/>
    <w:rsid w:val="005F49A6"/>
    <w:rsid w:val="005F7F48"/>
    <w:rsid w:val="0063054B"/>
    <w:rsid w:val="006422DA"/>
    <w:rsid w:val="00663516"/>
    <w:rsid w:val="006649D2"/>
    <w:rsid w:val="00674541"/>
    <w:rsid w:val="00675FB2"/>
    <w:rsid w:val="00682BE7"/>
    <w:rsid w:val="00694A09"/>
    <w:rsid w:val="006D74A4"/>
    <w:rsid w:val="00712C42"/>
    <w:rsid w:val="0072386E"/>
    <w:rsid w:val="007243D7"/>
    <w:rsid w:val="007257AF"/>
    <w:rsid w:val="00726E6D"/>
    <w:rsid w:val="00786B28"/>
    <w:rsid w:val="00787546"/>
    <w:rsid w:val="00792AFA"/>
    <w:rsid w:val="007A08BA"/>
    <w:rsid w:val="007B0A77"/>
    <w:rsid w:val="007B2444"/>
    <w:rsid w:val="007C1FA1"/>
    <w:rsid w:val="007C70B8"/>
    <w:rsid w:val="00806415"/>
    <w:rsid w:val="0081395D"/>
    <w:rsid w:val="00814AF3"/>
    <w:rsid w:val="00847F85"/>
    <w:rsid w:val="00867760"/>
    <w:rsid w:val="00875666"/>
    <w:rsid w:val="00877467"/>
    <w:rsid w:val="00885444"/>
    <w:rsid w:val="0089606D"/>
    <w:rsid w:val="008A1266"/>
    <w:rsid w:val="008C7DE9"/>
    <w:rsid w:val="0091552E"/>
    <w:rsid w:val="00922A0E"/>
    <w:rsid w:val="00940461"/>
    <w:rsid w:val="0098222A"/>
    <w:rsid w:val="00997325"/>
    <w:rsid w:val="009A7112"/>
    <w:rsid w:val="009B5C76"/>
    <w:rsid w:val="009C30F8"/>
    <w:rsid w:val="009C4FE1"/>
    <w:rsid w:val="009D3A12"/>
    <w:rsid w:val="009E497E"/>
    <w:rsid w:val="009F39B9"/>
    <w:rsid w:val="009F4C09"/>
    <w:rsid w:val="00A0579C"/>
    <w:rsid w:val="00A15696"/>
    <w:rsid w:val="00A1617F"/>
    <w:rsid w:val="00A315B2"/>
    <w:rsid w:val="00A42944"/>
    <w:rsid w:val="00A43CC4"/>
    <w:rsid w:val="00A82EE0"/>
    <w:rsid w:val="00A92671"/>
    <w:rsid w:val="00AB7D07"/>
    <w:rsid w:val="00AC5783"/>
    <w:rsid w:val="00AD2B17"/>
    <w:rsid w:val="00AD7370"/>
    <w:rsid w:val="00AE414D"/>
    <w:rsid w:val="00AF63DA"/>
    <w:rsid w:val="00B0538A"/>
    <w:rsid w:val="00B102DC"/>
    <w:rsid w:val="00B129C9"/>
    <w:rsid w:val="00B3071F"/>
    <w:rsid w:val="00B34D1E"/>
    <w:rsid w:val="00B51CAA"/>
    <w:rsid w:val="00B62860"/>
    <w:rsid w:val="00B65BE0"/>
    <w:rsid w:val="00B72781"/>
    <w:rsid w:val="00B815B7"/>
    <w:rsid w:val="00B9194C"/>
    <w:rsid w:val="00BA7A47"/>
    <w:rsid w:val="00BB456D"/>
    <w:rsid w:val="00BC775D"/>
    <w:rsid w:val="00BD34F8"/>
    <w:rsid w:val="00C13E79"/>
    <w:rsid w:val="00C339B4"/>
    <w:rsid w:val="00C56A76"/>
    <w:rsid w:val="00C631B8"/>
    <w:rsid w:val="00C967C2"/>
    <w:rsid w:val="00CB0714"/>
    <w:rsid w:val="00CC0E43"/>
    <w:rsid w:val="00CC1FE2"/>
    <w:rsid w:val="00CC49FC"/>
    <w:rsid w:val="00CD7FFA"/>
    <w:rsid w:val="00CE4328"/>
    <w:rsid w:val="00CE6613"/>
    <w:rsid w:val="00CF38C8"/>
    <w:rsid w:val="00D1052A"/>
    <w:rsid w:val="00D15DD2"/>
    <w:rsid w:val="00D804C6"/>
    <w:rsid w:val="00D90DB5"/>
    <w:rsid w:val="00DB3859"/>
    <w:rsid w:val="00DF51AD"/>
    <w:rsid w:val="00E03F85"/>
    <w:rsid w:val="00E04BE5"/>
    <w:rsid w:val="00E62187"/>
    <w:rsid w:val="00E7052E"/>
    <w:rsid w:val="00E852D4"/>
    <w:rsid w:val="00E92B1F"/>
    <w:rsid w:val="00E947E1"/>
    <w:rsid w:val="00EC4EA3"/>
    <w:rsid w:val="00EC6D84"/>
    <w:rsid w:val="00EF3670"/>
    <w:rsid w:val="00F22539"/>
    <w:rsid w:val="00F40AF1"/>
    <w:rsid w:val="00F429EB"/>
    <w:rsid w:val="00F63603"/>
    <w:rsid w:val="00F709FE"/>
    <w:rsid w:val="00FC6458"/>
    <w:rsid w:val="01B74261"/>
    <w:rsid w:val="01F52A32"/>
    <w:rsid w:val="02117D9A"/>
    <w:rsid w:val="054A18BF"/>
    <w:rsid w:val="06092D3D"/>
    <w:rsid w:val="06153D95"/>
    <w:rsid w:val="069074E0"/>
    <w:rsid w:val="075C1243"/>
    <w:rsid w:val="07E0692E"/>
    <w:rsid w:val="084A69E0"/>
    <w:rsid w:val="0A69C2BD"/>
    <w:rsid w:val="0BB94A24"/>
    <w:rsid w:val="0DE12612"/>
    <w:rsid w:val="0E693CA5"/>
    <w:rsid w:val="10D92310"/>
    <w:rsid w:val="11B13797"/>
    <w:rsid w:val="12EB6997"/>
    <w:rsid w:val="13C13F6B"/>
    <w:rsid w:val="14481B94"/>
    <w:rsid w:val="147F6CFF"/>
    <w:rsid w:val="14D35882"/>
    <w:rsid w:val="158419F8"/>
    <w:rsid w:val="15E02CDD"/>
    <w:rsid w:val="15E038B4"/>
    <w:rsid w:val="16CFA45A"/>
    <w:rsid w:val="181E645C"/>
    <w:rsid w:val="1AEF1276"/>
    <w:rsid w:val="1B4585EF"/>
    <w:rsid w:val="1C087481"/>
    <w:rsid w:val="1C3E56F6"/>
    <w:rsid w:val="1CB77E39"/>
    <w:rsid w:val="1CFD388C"/>
    <w:rsid w:val="1D9A121F"/>
    <w:rsid w:val="1EA16F12"/>
    <w:rsid w:val="1EDE7903"/>
    <w:rsid w:val="20F75A0D"/>
    <w:rsid w:val="213F667D"/>
    <w:rsid w:val="222E5F3F"/>
    <w:rsid w:val="228274AE"/>
    <w:rsid w:val="26DC6142"/>
    <w:rsid w:val="26E27064"/>
    <w:rsid w:val="276F4F06"/>
    <w:rsid w:val="295DBEBC"/>
    <w:rsid w:val="29923965"/>
    <w:rsid w:val="2A1C1F58"/>
    <w:rsid w:val="2BEB0457"/>
    <w:rsid w:val="2C460B36"/>
    <w:rsid w:val="2E4B5E8E"/>
    <w:rsid w:val="2EAF2298"/>
    <w:rsid w:val="2F690A64"/>
    <w:rsid w:val="2FAEACDA"/>
    <w:rsid w:val="31C73B58"/>
    <w:rsid w:val="351B1186"/>
    <w:rsid w:val="363DA341"/>
    <w:rsid w:val="365FD7D9"/>
    <w:rsid w:val="36F4B14D"/>
    <w:rsid w:val="37D33E1C"/>
    <w:rsid w:val="38D26C34"/>
    <w:rsid w:val="3A227FEF"/>
    <w:rsid w:val="3AB005A0"/>
    <w:rsid w:val="3B3720B6"/>
    <w:rsid w:val="3BF39094"/>
    <w:rsid w:val="3C5F759A"/>
    <w:rsid w:val="3DD75BCE"/>
    <w:rsid w:val="3DE7DA4D"/>
    <w:rsid w:val="3E375670"/>
    <w:rsid w:val="3F15E167"/>
    <w:rsid w:val="3F65D885"/>
    <w:rsid w:val="3FB24218"/>
    <w:rsid w:val="3FD33554"/>
    <w:rsid w:val="3FFDB047"/>
    <w:rsid w:val="3FFFDFFC"/>
    <w:rsid w:val="40415259"/>
    <w:rsid w:val="434B10FB"/>
    <w:rsid w:val="43DB793F"/>
    <w:rsid w:val="43F41848"/>
    <w:rsid w:val="444B7925"/>
    <w:rsid w:val="44AB5566"/>
    <w:rsid w:val="46115240"/>
    <w:rsid w:val="46FFAD2C"/>
    <w:rsid w:val="472E61B2"/>
    <w:rsid w:val="47B72585"/>
    <w:rsid w:val="47FF47F5"/>
    <w:rsid w:val="49EB5DA8"/>
    <w:rsid w:val="4B6B7E57"/>
    <w:rsid w:val="4DDBB1BA"/>
    <w:rsid w:val="4E2D7CD0"/>
    <w:rsid w:val="4EEC395A"/>
    <w:rsid w:val="4F2F9F8E"/>
    <w:rsid w:val="4F3DFAEE"/>
    <w:rsid w:val="514C6193"/>
    <w:rsid w:val="51AD7847"/>
    <w:rsid w:val="52154284"/>
    <w:rsid w:val="53513120"/>
    <w:rsid w:val="539354E6"/>
    <w:rsid w:val="54DC6117"/>
    <w:rsid w:val="54EE3A5F"/>
    <w:rsid w:val="54FA6AC0"/>
    <w:rsid w:val="55BD79BA"/>
    <w:rsid w:val="55FCEC71"/>
    <w:rsid w:val="577FDD2A"/>
    <w:rsid w:val="57BF1CDA"/>
    <w:rsid w:val="57E92510"/>
    <w:rsid w:val="57FE75D5"/>
    <w:rsid w:val="58370641"/>
    <w:rsid w:val="58803B0B"/>
    <w:rsid w:val="589F3772"/>
    <w:rsid w:val="59FC72E9"/>
    <w:rsid w:val="5AEEA0A6"/>
    <w:rsid w:val="5B28211D"/>
    <w:rsid w:val="5BC93F18"/>
    <w:rsid w:val="5E017E41"/>
    <w:rsid w:val="5E7688A2"/>
    <w:rsid w:val="5F10764E"/>
    <w:rsid w:val="5F3142AE"/>
    <w:rsid w:val="5F3D0299"/>
    <w:rsid w:val="5FD83149"/>
    <w:rsid w:val="5FDB7B08"/>
    <w:rsid w:val="5FDEC398"/>
    <w:rsid w:val="5FEA27CE"/>
    <w:rsid w:val="5FFE6374"/>
    <w:rsid w:val="61133178"/>
    <w:rsid w:val="61E2349D"/>
    <w:rsid w:val="65115EE0"/>
    <w:rsid w:val="651E7E1A"/>
    <w:rsid w:val="667E027C"/>
    <w:rsid w:val="6A303637"/>
    <w:rsid w:val="6A5E49D8"/>
    <w:rsid w:val="6B2312D3"/>
    <w:rsid w:val="6BEE120A"/>
    <w:rsid w:val="6CE703F6"/>
    <w:rsid w:val="6DF9C672"/>
    <w:rsid w:val="6E011D6E"/>
    <w:rsid w:val="6F5F1FE6"/>
    <w:rsid w:val="6F7E48A7"/>
    <w:rsid w:val="6F8B248C"/>
    <w:rsid w:val="6FDEB3E4"/>
    <w:rsid w:val="6FED0D34"/>
    <w:rsid w:val="6FFFDDC2"/>
    <w:rsid w:val="701B1325"/>
    <w:rsid w:val="701F5AA3"/>
    <w:rsid w:val="70544E68"/>
    <w:rsid w:val="73CB1497"/>
    <w:rsid w:val="73E700C3"/>
    <w:rsid w:val="742B3014"/>
    <w:rsid w:val="748E210A"/>
    <w:rsid w:val="74DB5323"/>
    <w:rsid w:val="76AD404C"/>
    <w:rsid w:val="76BD4054"/>
    <w:rsid w:val="777F8C81"/>
    <w:rsid w:val="778D3C35"/>
    <w:rsid w:val="778E3E15"/>
    <w:rsid w:val="77CA6F7C"/>
    <w:rsid w:val="77FF2EB4"/>
    <w:rsid w:val="78591FAB"/>
    <w:rsid w:val="78BC59F0"/>
    <w:rsid w:val="79064631"/>
    <w:rsid w:val="796B1E5E"/>
    <w:rsid w:val="79D757BA"/>
    <w:rsid w:val="7A6FADEC"/>
    <w:rsid w:val="7A8320F3"/>
    <w:rsid w:val="7AFDD765"/>
    <w:rsid w:val="7B79C93B"/>
    <w:rsid w:val="7B7D1878"/>
    <w:rsid w:val="7BBFF33A"/>
    <w:rsid w:val="7BFBEE98"/>
    <w:rsid w:val="7CABA260"/>
    <w:rsid w:val="7DA15990"/>
    <w:rsid w:val="7DF7A2B5"/>
    <w:rsid w:val="7DFC1FA7"/>
    <w:rsid w:val="7E7F9853"/>
    <w:rsid w:val="7EBC4AA0"/>
    <w:rsid w:val="7ED9BDA8"/>
    <w:rsid w:val="7EDE5F32"/>
    <w:rsid w:val="7F351AE6"/>
    <w:rsid w:val="7F363568"/>
    <w:rsid w:val="7F367C3D"/>
    <w:rsid w:val="7F945288"/>
    <w:rsid w:val="7F999319"/>
    <w:rsid w:val="7F9A1968"/>
    <w:rsid w:val="7FB306B4"/>
    <w:rsid w:val="7FB516B5"/>
    <w:rsid w:val="7FB7FC61"/>
    <w:rsid w:val="7FB7FEF7"/>
    <w:rsid w:val="7FBF9584"/>
    <w:rsid w:val="7FDFE835"/>
    <w:rsid w:val="7FE7DCE1"/>
    <w:rsid w:val="7FFBA27E"/>
    <w:rsid w:val="7FFD4970"/>
    <w:rsid w:val="7FFFCF53"/>
    <w:rsid w:val="999F1AF8"/>
    <w:rsid w:val="9CFCB397"/>
    <w:rsid w:val="9FF3CFA2"/>
    <w:rsid w:val="A75FDAC0"/>
    <w:rsid w:val="AB7A104A"/>
    <w:rsid w:val="AFBEFDAD"/>
    <w:rsid w:val="AFBFE3FB"/>
    <w:rsid w:val="AFFF70AA"/>
    <w:rsid w:val="B6EFA0CC"/>
    <w:rsid w:val="B6FFEB3C"/>
    <w:rsid w:val="B9974DB9"/>
    <w:rsid w:val="BE7F7958"/>
    <w:rsid w:val="BEB70821"/>
    <w:rsid w:val="BFA9C7A3"/>
    <w:rsid w:val="BFDACD6D"/>
    <w:rsid w:val="BFE75F22"/>
    <w:rsid w:val="BFFEE65B"/>
    <w:rsid w:val="CDD5FD38"/>
    <w:rsid w:val="CDF7271C"/>
    <w:rsid w:val="CDFEB27A"/>
    <w:rsid w:val="D1774DF0"/>
    <w:rsid w:val="D3DF36E8"/>
    <w:rsid w:val="D5CB1ED3"/>
    <w:rsid w:val="D79EA22F"/>
    <w:rsid w:val="DBB27EB8"/>
    <w:rsid w:val="DBFEF3AB"/>
    <w:rsid w:val="DC3F59E9"/>
    <w:rsid w:val="DEDA8F38"/>
    <w:rsid w:val="DEDFF8A8"/>
    <w:rsid w:val="DEFD4398"/>
    <w:rsid w:val="DF1FCAA7"/>
    <w:rsid w:val="DF35DB5C"/>
    <w:rsid w:val="DFAFF8B3"/>
    <w:rsid w:val="DFB881EF"/>
    <w:rsid w:val="DFEAF702"/>
    <w:rsid w:val="DFF5AA8C"/>
    <w:rsid w:val="DFFFB2F3"/>
    <w:rsid w:val="E77E137E"/>
    <w:rsid w:val="EB4B745D"/>
    <w:rsid w:val="EB9FFFD8"/>
    <w:rsid w:val="EBDF9C3B"/>
    <w:rsid w:val="EBF5B548"/>
    <w:rsid w:val="ECCF052C"/>
    <w:rsid w:val="ED5F8A45"/>
    <w:rsid w:val="EDEA79F8"/>
    <w:rsid w:val="EDEC8206"/>
    <w:rsid w:val="EDFEF078"/>
    <w:rsid w:val="EF5E9F43"/>
    <w:rsid w:val="EF7D38BB"/>
    <w:rsid w:val="EFAF4848"/>
    <w:rsid w:val="EFDFE407"/>
    <w:rsid w:val="EFF66D55"/>
    <w:rsid w:val="F1FCBD38"/>
    <w:rsid w:val="F26F99B0"/>
    <w:rsid w:val="F3F9C21F"/>
    <w:rsid w:val="F57FB314"/>
    <w:rsid w:val="F5F31AC6"/>
    <w:rsid w:val="F6BFF6E0"/>
    <w:rsid w:val="F6F61371"/>
    <w:rsid w:val="F7BF930F"/>
    <w:rsid w:val="F7DA996D"/>
    <w:rsid w:val="F7FF6583"/>
    <w:rsid w:val="F97F60D7"/>
    <w:rsid w:val="FB5F1666"/>
    <w:rsid w:val="FB7A8DC1"/>
    <w:rsid w:val="FBBE3EA9"/>
    <w:rsid w:val="FBD5E629"/>
    <w:rsid w:val="FBDB4816"/>
    <w:rsid w:val="FBFD23F1"/>
    <w:rsid w:val="FBFD7A32"/>
    <w:rsid w:val="FD99C4D6"/>
    <w:rsid w:val="FDEA7603"/>
    <w:rsid w:val="FDEF5BAC"/>
    <w:rsid w:val="FE2FB2E0"/>
    <w:rsid w:val="FE320404"/>
    <w:rsid w:val="FEBDF86D"/>
    <w:rsid w:val="FEEDA468"/>
    <w:rsid w:val="FEF98A51"/>
    <w:rsid w:val="FEFE3F83"/>
    <w:rsid w:val="FEFF8578"/>
    <w:rsid w:val="FF0DABBC"/>
    <w:rsid w:val="FF3F6DA2"/>
    <w:rsid w:val="FF9E7095"/>
    <w:rsid w:val="FFD7AFD5"/>
    <w:rsid w:val="FFDDFB2F"/>
    <w:rsid w:val="FFDFC7B3"/>
    <w:rsid w:val="FFF5C196"/>
    <w:rsid w:val="FFF75BFE"/>
    <w:rsid w:val="FFFA11B5"/>
    <w:rsid w:val="FFFBB884"/>
    <w:rsid w:val="FFFFE087"/>
    <w:rsid w:val="FFFFE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atLeast"/>
      <w:jc w:val="both"/>
    </w:pPr>
    <w:rPr>
      <w:rFonts w:ascii="宋体" w:hAnsi="Calibri" w:eastAsia="宋体" w:cs="Times New Roman"/>
      <w:kern w:val="2"/>
      <w:sz w:val="24"/>
      <w:szCs w:val="22"/>
      <w:lang w:val="en-US" w:eastAsia="zh-CN" w:bidi="ar-SA"/>
    </w:rPr>
  </w:style>
  <w:style w:type="paragraph" w:styleId="2">
    <w:name w:val="heading 1"/>
    <w:basedOn w:val="1"/>
    <w:next w:val="1"/>
    <w:qFormat/>
    <w:uiPriority w:val="0"/>
    <w:pPr>
      <w:spacing w:beforeAutospacing="1" w:afterAutospacing="1"/>
      <w:jc w:val="left"/>
      <w:outlineLvl w:val="0"/>
    </w:pPr>
    <w:rPr>
      <w:rFonts w:hint="eastAsia" w:hAnsi="宋体"/>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hAnsi="宋体"/>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hAnsi="宋体"/>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hAnsi="宋体"/>
      <w:b/>
      <w:bCs/>
      <w:kern w:val="0"/>
      <w:szCs w:val="24"/>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Date"/>
    <w:basedOn w:val="1"/>
    <w:next w:val="1"/>
    <w:link w:val="19"/>
    <w:qFormat/>
    <w:uiPriority w:val="0"/>
    <w:pPr>
      <w:ind w:left="100" w:leftChars="2500"/>
    </w:pPr>
  </w:style>
  <w:style w:type="paragraph" w:styleId="7">
    <w:name w:val="Balloon Text"/>
    <w:basedOn w:val="1"/>
    <w:link w:val="16"/>
    <w:qFormat/>
    <w:uiPriority w:val="0"/>
    <w:pPr>
      <w:spacing w:line="240" w:lineRule="auto"/>
    </w:pPr>
    <w:rPr>
      <w:sz w:val="18"/>
      <w:szCs w:val="18"/>
    </w:rPr>
  </w:style>
  <w:style w:type="paragraph" w:styleId="8">
    <w:name w:val="footer"/>
    <w:basedOn w:val="1"/>
    <w:qFormat/>
    <w:uiPriority w:val="99"/>
    <w:pPr>
      <w:tabs>
        <w:tab w:val="center" w:pos="4153"/>
        <w:tab w:val="right" w:pos="8306"/>
      </w:tabs>
      <w:snapToGrid w:val="0"/>
      <w:jc w:val="left"/>
    </w:pPr>
    <w:rPr>
      <w:kern w:val="0"/>
      <w:sz w:val="18"/>
      <w:szCs w:val="20"/>
      <w:lang w:val="zh-CN"/>
    </w:rPr>
  </w:style>
  <w:style w:type="paragraph" w:styleId="9">
    <w:name w:val="header"/>
    <w:basedOn w:val="1"/>
    <w:link w:val="15"/>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10">
    <w:name w:val="Normal (Web)"/>
    <w:basedOn w:val="1"/>
    <w:qFormat/>
    <w:uiPriority w:val="99"/>
    <w:pPr>
      <w:spacing w:beforeAutospacing="1" w:afterAutospacing="1"/>
      <w:jc w:val="left"/>
    </w:pPr>
    <w:rPr>
      <w:kern w:val="0"/>
    </w:rPr>
  </w:style>
  <w:style w:type="character" w:styleId="13">
    <w:name w:val="Strong"/>
    <w:basedOn w:val="12"/>
    <w:qFormat/>
    <w:uiPriority w:val="22"/>
    <w:rPr>
      <w:b/>
    </w:rPr>
  </w:style>
  <w:style w:type="character" w:styleId="14">
    <w:name w:val="Hyperlink"/>
    <w:basedOn w:val="12"/>
    <w:qFormat/>
    <w:uiPriority w:val="0"/>
    <w:rPr>
      <w:color w:val="0000FF"/>
      <w:u w:val="single"/>
    </w:rPr>
  </w:style>
  <w:style w:type="character" w:customStyle="1" w:styleId="15">
    <w:name w:val="页眉 字符"/>
    <w:basedOn w:val="12"/>
    <w:link w:val="9"/>
    <w:qFormat/>
    <w:uiPriority w:val="0"/>
    <w:rPr>
      <w:rFonts w:ascii="宋体" w:hAnsi="Calibri"/>
      <w:kern w:val="2"/>
      <w:sz w:val="18"/>
      <w:szCs w:val="18"/>
    </w:rPr>
  </w:style>
  <w:style w:type="character" w:customStyle="1" w:styleId="16">
    <w:name w:val="批注框文本 字符"/>
    <w:basedOn w:val="12"/>
    <w:link w:val="7"/>
    <w:qFormat/>
    <w:uiPriority w:val="0"/>
    <w:rPr>
      <w:rFonts w:ascii="宋体" w:hAnsi="Calibri"/>
      <w:kern w:val="2"/>
      <w:sz w:val="18"/>
      <w:szCs w:val="18"/>
    </w:rPr>
  </w:style>
  <w:style w:type="paragraph" w:customStyle="1" w:styleId="17">
    <w:name w:val="_Style 15"/>
    <w:basedOn w:val="1"/>
    <w:next w:val="1"/>
    <w:qFormat/>
    <w:uiPriority w:val="0"/>
    <w:pPr>
      <w:pBdr>
        <w:bottom w:val="single" w:color="auto" w:sz="6" w:space="1"/>
      </w:pBdr>
      <w:jc w:val="center"/>
    </w:pPr>
    <w:rPr>
      <w:rFonts w:ascii="Arial"/>
      <w:vanish/>
      <w:sz w:val="16"/>
    </w:rPr>
  </w:style>
  <w:style w:type="paragraph" w:customStyle="1" w:styleId="18">
    <w:name w:val="_Style 16"/>
    <w:basedOn w:val="1"/>
    <w:next w:val="1"/>
    <w:qFormat/>
    <w:uiPriority w:val="0"/>
    <w:pPr>
      <w:pBdr>
        <w:top w:val="single" w:color="auto" w:sz="6" w:space="1"/>
      </w:pBdr>
      <w:jc w:val="center"/>
    </w:pPr>
    <w:rPr>
      <w:rFonts w:ascii="Arial"/>
      <w:vanish/>
      <w:sz w:val="16"/>
    </w:rPr>
  </w:style>
  <w:style w:type="character" w:customStyle="1" w:styleId="19">
    <w:name w:val="日期 字符"/>
    <w:basedOn w:val="12"/>
    <w:link w:val="6"/>
    <w:qFormat/>
    <w:uiPriority w:val="0"/>
    <w:rPr>
      <w:rFonts w:ascii="宋体" w:hAnsi="Calibri"/>
      <w:kern w:val="2"/>
      <w:sz w:val="24"/>
      <w:szCs w:val="22"/>
    </w:rPr>
  </w:style>
  <w:style w:type="paragraph" w:styleId="2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16ff43be-6bf3-4009-89c3-143a8c155c76</errorID>
      <errorWord>加入到</errorWord>
      <group>L1_Word</group>
      <groupName>字词问题</groupName>
      <ability>L2_Typo</ability>
      <abilityName>字词错误</abilityName>
      <candidateList>
        <item>加入</item>
      </candidateList>
      <explain>〈动〉❶加上；掺进去：～食糖少许。❷参加进去：～工会｜～足球队。</explain>
      <paraID>4FE0ED7B</paraID>
      <start>37</start>
      <end>40</end>
      <status>unmodified</status>
      <modifiedWord/>
      <trackRevisions>false</trackRevisions>
    </reviewItem>
    <reviewItem>
      <errorID>e9789117-eae2-473d-bf74-3fa0cc40b272</errorID>
      <errorWord>计</errorWord>
      <group>L1_Word</group>
      <groupName>字词问题</groupName>
      <ability>L2_Typo</ability>
      <abilityName>字词错误</abilityName>
      <candidateList>
        <item>计和</item>
      </candidateList>
      <explain/>
      <paraID>15AA364D</paraID>
      <start>86</start>
      <end>87</end>
      <status>unmodified</status>
      <modifiedWord/>
      <trackRevisions>false</trackRevisions>
    </reviewItem>
    <reviewItem>
      <errorID>73ddaf24-51a3-4da3-861f-f8c2fd8cdad1</errorID>
      <errorWord>)</errorWord>
      <group>L1_Format</group>
      <groupName>格式问题</groupName>
      <ability>L2_HalfPunc_CN</ability>
      <abilityName>全半角检查</abilityName>
      <candidateList>
        <item>）</item>
      </candidateList>
      <explain>文本全半角错误。</explain>
      <paraID> 2501AF0</paraID>
      <start>52</start>
      <end>53</end>
      <status>unmodified</status>
      <modifiedWord/>
      <trackRevisions>false</trackRevisions>
    </reviewItem>
    <reviewItem>
      <errorID>1f2ca48d-6b2a-4d4f-895d-6bf7047ceb5c</errorID>
      <errorWord>专制国家</errorWord>
      <group>L1_Sensitive</group>
      <groupName>敏感问题</groupName>
      <ability>L2_Violent</ability>
      <abilityName>暴恐词条</abilityName>
      <candidateList/>
      <explain>【暴恐词条】句中包含暴恐类敏感词条，请注意甄别。</explain>
      <paraID>2DB2CCC8</paraID>
      <start>89</start>
      <end>93</end>
      <status>unmodified</status>
      <modifiedWord/>
      <trackRevisions>false</trackRevisions>
    </reviewItem>
    <reviewItem>
      <errorID>0937c1db-83c1-43ee-b13b-f6e276a37cdc</errorID>
      <errorWord>据泄露的公司文件显示</errorWord>
      <group>L1_Grammar</group>
      <groupName>语法问题</groupName>
      <ability>L2_Grammar</ability>
      <abilityName>语法错误</abilityName>
      <candidateList>
        <item>据泄露的公司文件</item>
      </candidateList>
      <explain>该表达中的“据泄露的公司文件显示”存在语义重复。</explain>
      <paraID>68AAA8E5</paraID>
      <start>55</start>
      <end>65</end>
      <status>unmodified</status>
      <modifiedWord/>
      <trackRevisions>false</trackRevisions>
    </reviewItem>
    <reviewItem>
      <errorID>cfda3568-5c0c-42d9-9f1d-5897a0731c81</errorID>
      <errorWord>经济放缓</errorWord>
      <group>L1_Word</group>
      <groupName>字词问题</groupName>
      <ability>L2_Typo</ability>
      <abilityName>字词错误</abilityName>
      <candidateList>
        <item>经济增长放缓</item>
      </candidateList>
      <explain/>
      <paraID>197E9D56</paraID>
      <start>53</start>
      <end>57</end>
      <status>unmodified</status>
      <modifiedWord/>
      <trackRevisions>false</trackRevisions>
    </reviewItem>
    <reviewItem>
      <errorID>799042c6-b4e0-49b6-bc29-0f4004ff046f</errorID>
      <errorWord>正</errorWord>
      <group>L1_Word</group>
      <groupName>字词问题</groupName>
      <ability>L2_Typo</ability>
      <abilityName>字词错误</abilityName>
      <candidateList>
        <item>正在</item>
      </candidateList>
      <explain/>
      <paraID>197E9D56</paraID>
      <start>88</start>
      <end>89</end>
      <status>unmodified</status>
      <modifiedWord/>
      <trackRevisions>false</trackRevisions>
    </reviewItem>
    <reviewItem>
      <errorID>f1a7d97c-fe0b-472b-b02e-ff2b6f5b0ac2</errorID>
      <errorWord>即时通讯</errorWord>
      <group>L1_Word</group>
      <groupName>字词问题</groupName>
      <ability>L2_Typo</ability>
      <abilityName>字词错误</abilityName>
      <candidateList>
        <item>即时通信</item>
      </candidateList>
      <explain/>
      <paraID>12E98A62</paraID>
      <start>12</start>
      <end>16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6E90F9-4592-452A-A62D-1592E57D4A2E}">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6304</Words>
  <Characters>6901</Characters>
  <Lines>49</Lines>
  <Paragraphs>14</Paragraphs>
  <TotalTime>440</TotalTime>
  <ScaleCrop>false</ScaleCrop>
  <LinksUpToDate>false</LinksUpToDate>
  <CharactersWithSpaces>6925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2025-07-28T03:45:00Z</dcterms:created>
  <dc:creator>李宛霖</dc:creator>
  <cp:lastModifiedBy>xjh</cp:lastModifiedBy>
  <cp:lastPrinted>2025-10-13T13:06:00Z</cp:lastPrinted>
  <dcterms:modified xsi:type="dcterms:W3CDTF">2026-06-26T03:32:20Z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24AEE9F62F8D480A8D4BE01BA3456861_13</vt:lpwstr>
  </property>
  <property fmtid="{D5CDD505-2E9C-101B-9397-08002B2CF9AE}" pid="4" name="KSOTemplateDocerSaveRecord">
    <vt:lpwstr>eyJoZGlkIjoiOTVhMjg4ZTVkNGRkYzU4MzY1MTc5NjhjNDRmMjg1OWMiLCJ1c2VySWQiOiIyNTQzMTAwNTYifQ==</vt:lpwstr>
  </property>
</Properties>
</file>