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73E71">
      <w:pPr>
        <w:spacing w:line="560" w:lineRule="exact"/>
        <w:rPr>
          <w:rFonts w:ascii="黑体" w:hAnsi="黑体" w:eastAsia="黑体"/>
          <w:sz w:val="36"/>
          <w:szCs w:val="36"/>
        </w:rPr>
      </w:pPr>
      <w:bookmarkStart w:id="0" w:name="_Toc1035904"/>
    </w:p>
    <w:p w14:paraId="690375A0">
      <w:pPr>
        <w:spacing w:line="560" w:lineRule="exact"/>
        <w:rPr>
          <w:rFonts w:ascii="黑体" w:hAnsi="黑体" w:eastAsia="黑体"/>
          <w:sz w:val="36"/>
          <w:szCs w:val="36"/>
        </w:rPr>
      </w:pPr>
    </w:p>
    <w:p w14:paraId="44C46FA3">
      <w:pPr>
        <w:spacing w:line="560" w:lineRule="exact"/>
        <w:rPr>
          <w:rFonts w:ascii="方正楷体_GB2312" w:hAnsi="方正楷体_GB2312" w:eastAsia="方正楷体_GB2312" w:cs="方正楷体_GB2312"/>
          <w:sz w:val="36"/>
          <w:szCs w:val="36"/>
        </w:rPr>
      </w:pPr>
      <w:r>
        <w:rPr>
          <w:rFonts w:hint="eastAsia" w:ascii="黑体" w:hAnsi="黑体" w:eastAsia="黑体"/>
          <w:sz w:val="36"/>
          <w:szCs w:val="36"/>
        </w:rPr>
        <w:t>内部刊物</w:t>
      </w:r>
    </w:p>
    <w:p w14:paraId="3EFBAB5D">
      <w:pPr>
        <w:spacing w:before="312" w:beforeLines="100"/>
        <w:jc w:val="left"/>
        <w:rPr>
          <w:rFonts w:ascii="方正楷体_GB2312" w:hAnsi="方正楷体_GB2312" w:eastAsia="方正楷体_GB2312" w:cs="方正楷体_GB2312"/>
          <w:sz w:val="36"/>
          <w:szCs w:val="36"/>
        </w:rPr>
      </w:pPr>
      <w:r>
        <w:rPr>
          <w:rFonts w:hint="eastAsia" w:ascii="华文中宋" w:hAnsi="华文中宋" w:eastAsia="华文中宋"/>
          <w:color w:val="FF0000"/>
          <w:spacing w:val="-44"/>
          <w:w w:val="98"/>
          <w:sz w:val="124"/>
          <w:szCs w:val="124"/>
        </w:rPr>
        <w:t>境外敏感信息专报</w:t>
      </w:r>
    </w:p>
    <w:p w14:paraId="57E9DEE2">
      <w:pPr>
        <w:spacing w:line="560" w:lineRule="exact"/>
        <w:rPr>
          <w:rFonts w:ascii="方正楷体_GB2312" w:hAnsi="方正楷体_GB2312" w:eastAsia="方正楷体_GB2312" w:cs="方正楷体_GB2312"/>
          <w:sz w:val="36"/>
          <w:szCs w:val="36"/>
        </w:rPr>
      </w:pPr>
    </w:p>
    <w:p w14:paraId="4218649C">
      <w:pPr>
        <w:spacing w:line="560" w:lineRule="exact"/>
        <w:rPr>
          <w:rFonts w:ascii="方正楷体_GB2312" w:hAnsi="方正楷体_GB2312" w:eastAsia="方正楷体_GB2312" w:cs="方正楷体_GB2312"/>
          <w:sz w:val="36"/>
          <w:szCs w:val="36"/>
        </w:rPr>
      </w:pPr>
    </w:p>
    <w:p w14:paraId="3CD88CB7">
      <w:pPr>
        <w:spacing w:line="560" w:lineRule="exact"/>
        <w:jc w:val="left"/>
        <w:rPr>
          <w:rFonts w:ascii="楷体_GB2312" w:hAnsi="楷体_GB2312" w:eastAsia="楷体_GB2312" w:cs="楷体_GB2312"/>
          <w:sz w:val="40"/>
          <w:szCs w:val="40"/>
        </w:rPr>
      </w:pPr>
      <w:r>
        <w:rPr>
          <w:rFonts w:hint="eastAsia" w:ascii="楷体_GB2312" w:hAnsi="楷体_GB2312" w:eastAsia="楷体_GB2312" w:cs="楷体_GB2312"/>
          <w:sz w:val="40"/>
          <w:szCs w:val="40"/>
        </w:rPr>
        <w:t>中共北京市委网信办</w:t>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ascii="楷体_GB2312" w:hAnsi="楷体_GB2312" w:eastAsia="楷体_GB2312" w:cs="楷体_GB2312"/>
          <w:sz w:val="40"/>
          <w:szCs w:val="40"/>
        </w:rPr>
        <w:tab/>
      </w:r>
      <w:r>
        <w:rPr>
          <w:rFonts w:hint="eastAsia" w:ascii="楷体_GB2312" w:hAnsi="楷体_GB2312" w:eastAsia="楷体_GB2312" w:cs="楷体_GB2312"/>
          <w:sz w:val="40"/>
          <w:szCs w:val="40"/>
        </w:rPr>
        <w:t>2026年6月2</w:t>
      </w:r>
      <w:r>
        <w:rPr>
          <w:rFonts w:hint="eastAsia" w:ascii="楷体_GB2312" w:hAnsi="楷体_GB2312" w:eastAsia="楷体_GB2312" w:cs="楷体_GB2312"/>
          <w:sz w:val="40"/>
          <w:szCs w:val="40"/>
          <w:lang w:val="en-US" w:eastAsia="zh-CN"/>
        </w:rPr>
        <w:t>6</w:t>
      </w:r>
      <w:r>
        <w:rPr>
          <w:rFonts w:hint="eastAsia" w:ascii="楷体_GB2312" w:hAnsi="楷体_GB2312" w:eastAsia="楷体_GB2312" w:cs="楷体_GB2312"/>
          <w:sz w:val="40"/>
          <w:szCs w:val="40"/>
        </w:rPr>
        <w:t>日</w:t>
      </w:r>
    </w:p>
    <w:p w14:paraId="5A9B0C5D">
      <w:pPr>
        <w:tabs>
          <w:tab w:val="left" w:pos="-142"/>
        </w:tabs>
        <w:adjustRightInd w:val="0"/>
        <w:snapToGrid w:val="0"/>
        <w:spacing w:line="400" w:lineRule="exact"/>
        <w:rPr>
          <w:rFonts w:ascii="方正楷体_GB2312" w:hAnsi="方正楷体_GB2312" w:eastAsia="方正楷体_GB2312" w:cs="方正楷体_GB2312"/>
          <w:bCs/>
          <w:sz w:val="44"/>
          <w:szCs w:val="44"/>
        </w:rPr>
      </w:pPr>
      <w:r>
        <w:rPr>
          <w:rFonts w:hint="eastAsia" w:ascii="方正楷体_GB2312" w:hAnsi="方正楷体_GB2312" w:eastAsia="方正楷体_GB2312" w:cs="方正楷体_GB2312"/>
          <w:color w:val="FF0000"/>
          <w:sz w:val="32"/>
          <w:szCs w:val="32"/>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26670</wp:posOffset>
                </wp:positionV>
                <wp:extent cx="5753735" cy="635"/>
                <wp:effectExtent l="0" t="12700" r="12065" b="2476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753735" cy="635"/>
                        </a:xfrm>
                        <a:prstGeom prst="line">
                          <a:avLst/>
                        </a:prstGeom>
                        <a:noFill/>
                        <a:ln w="25400">
                          <a:solidFill>
                            <a:srgbClr val="FF0000"/>
                          </a:solidFill>
                          <a:round/>
                        </a:ln>
                        <a:effectLst/>
                      </wps:spPr>
                      <wps:bodyPr/>
                    </wps:wsp>
                  </a:graphicData>
                </a:graphic>
              </wp:anchor>
            </w:drawing>
          </mc:Choice>
          <mc:Fallback>
            <w:pict>
              <v:line id="_x0000_s1026" o:spid="_x0000_s1026" o:spt="20" style="position:absolute;left:0pt;margin-left:-0.85pt;margin-top:2.1pt;height:0.05pt;width:453.05pt;z-index:251659264;mso-width-relative:page;mso-height-relative:page;" filled="f" stroked="t" coordsize="21600,21600" o:gfxdata="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K1&#10;NN3VAAAABgEAAA8AAAAAAAAAAQAgAAAAIgAAAGRycy9kb3ducmV2LnhtbFBLAQIUABQAAAAIAIdO&#10;4kAMNNcb7QEAALsDAAAOAAAAAAAAAAEAIAAAACQBAABkcnMvZTJvRG9jLnhtbFBLBQYAAAAABgAG&#10;AFkBAACDBQAAAAA=&#10;">
                <v:fill on="f" focussize="0,0"/>
                <v:stroke weight="2pt" color="#FF0000" joinstyle="round"/>
                <v:imagedata o:title=""/>
                <o:lock v:ext="edit" aspectratio="f"/>
              </v:line>
            </w:pict>
          </mc:Fallback>
        </mc:AlternateContent>
      </w:r>
    </w:p>
    <w:p w14:paraId="09363B5B">
      <w:pPr>
        <w:tabs>
          <w:tab w:val="left" w:pos="-142"/>
        </w:tabs>
        <w:spacing w:line="560" w:lineRule="exact"/>
        <w:ind w:right="-672" w:rightChars="-280" w:firstLine="3960" w:firstLineChars="900"/>
        <w:rPr>
          <w:rFonts w:ascii="楷体_GB2312" w:hAnsi="楷体_GB2312" w:eastAsia="楷体_GB2312" w:cs="楷体_GB2312"/>
          <w:sz w:val="40"/>
          <w:szCs w:val="40"/>
        </w:rPr>
      </w:pPr>
      <w:r>
        <w:rPr>
          <w:rFonts w:hint="eastAsia" w:ascii="方正楷体_GB2312" w:hAnsi="方正楷体_GB2312" w:eastAsia="方正楷体_GB2312" w:cs="方正楷体_GB2312"/>
          <w:bCs/>
          <w:sz w:val="44"/>
          <w:szCs w:val="44"/>
        </w:rPr>
        <w:t>目 录</w:t>
      </w:r>
      <w:bookmarkEnd w:id="0"/>
      <w:bookmarkStart w:id="1" w:name="_Toc137723241"/>
      <w:r>
        <w:rPr>
          <w:rFonts w:hint="eastAsia" w:ascii="方正楷体_GB2312" w:hAnsi="方正楷体_GB2312" w:eastAsia="方正楷体_GB2312" w:cs="方正楷体_GB2312"/>
          <w:sz w:val="40"/>
          <w:szCs w:val="40"/>
        </w:rPr>
        <w:fldChar w:fldCharType="begin"/>
      </w:r>
      <w:r>
        <w:rPr>
          <w:rFonts w:hint="eastAsia" w:ascii="方正楷体_GB2312" w:hAnsi="方正楷体_GB2312" w:eastAsia="方正楷体_GB2312" w:cs="方正楷体_GB2312"/>
          <w:sz w:val="40"/>
          <w:szCs w:val="40"/>
        </w:rPr>
        <w:instrText xml:space="preserve"> TOC \o "2-2" \n \h \z \u </w:instrText>
      </w:r>
      <w:r>
        <w:rPr>
          <w:rFonts w:hint="eastAsia" w:ascii="方正楷体_GB2312" w:hAnsi="方正楷体_GB2312" w:eastAsia="方正楷体_GB2312" w:cs="方正楷体_GB2312"/>
          <w:sz w:val="40"/>
          <w:szCs w:val="40"/>
        </w:rPr>
        <w:fldChar w:fldCharType="separate"/>
      </w:r>
    </w:p>
    <w:p w14:paraId="008FD74C">
      <w:pPr>
        <w:spacing w:before="156" w:beforeLines="50" w:after="156" w:afterLines="50" w:line="560" w:lineRule="exact"/>
        <w:rPr>
          <w:rFonts w:ascii="楷体_GB2312" w:hAnsi="楷体_GB2312" w:eastAsia="楷体_GB2312" w:cs="楷体_GB2312"/>
          <w:sz w:val="40"/>
          <w:szCs w:val="40"/>
        </w:rPr>
      </w:pPr>
    </w:p>
    <w:p w14:paraId="29432BCB">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楷体_GB2312" w:hAnsi="楷体_GB2312" w:eastAsia="楷体_GB2312" w:cs="楷体_GB2312"/>
          <w:sz w:val="40"/>
          <w:szCs w:val="40"/>
        </w:rPr>
        <w:t>美国扩张Pax Silica联盟推进AI供应链排华布局</w:t>
      </w:r>
    </w:p>
    <w:p w14:paraId="1BCFCFAF">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楷体_GB2312" w:hAnsi="楷体_GB2312" w:eastAsia="楷体_GB2312" w:cs="楷体_GB2312"/>
          <w:sz w:val="40"/>
          <w:szCs w:val="40"/>
        </w:rPr>
        <w:t>中国芯片出口额暴增110%引发</w:t>
      </w:r>
      <w:r>
        <w:rPr>
          <w:rFonts w:hint="eastAsia" w:ascii="楷体_GB2312" w:hAnsi="楷体_GB2312" w:eastAsia="楷体_GB2312" w:cs="楷体_GB2312"/>
          <w:sz w:val="40"/>
          <w:szCs w:val="40"/>
          <w:lang w:eastAsia="zh-CN"/>
        </w:rPr>
        <w:t>“</w:t>
      </w:r>
      <w:r>
        <w:rPr>
          <w:rFonts w:hint="eastAsia" w:ascii="楷体_GB2312" w:hAnsi="楷体_GB2312" w:eastAsia="楷体_GB2312" w:cs="楷体_GB2312"/>
          <w:sz w:val="40"/>
          <w:szCs w:val="40"/>
        </w:rPr>
        <w:t>封锁失败</w:t>
      </w:r>
      <w:r>
        <w:rPr>
          <w:rFonts w:hint="eastAsia" w:ascii="楷体_GB2312" w:hAnsi="楷体_GB2312" w:eastAsia="楷体_GB2312" w:cs="楷体_GB2312"/>
          <w:sz w:val="40"/>
          <w:szCs w:val="40"/>
          <w:lang w:eastAsia="zh-CN"/>
        </w:rPr>
        <w:t>”</w:t>
      </w:r>
      <w:r>
        <w:rPr>
          <w:rFonts w:hint="eastAsia" w:ascii="楷体_GB2312" w:hAnsi="楷体_GB2312" w:eastAsia="楷体_GB2312" w:cs="楷体_GB2312"/>
          <w:sz w:val="40"/>
          <w:szCs w:val="40"/>
        </w:rPr>
        <w:t>讨论</w:t>
      </w:r>
    </w:p>
    <w:p w14:paraId="74E06AD5">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方正楷体_GB2312" w:hAnsi="方正楷体_GB2312" w:eastAsia="方正楷体_GB2312" w:cs="方正楷体_GB2312"/>
          <w:sz w:val="40"/>
          <w:szCs w:val="40"/>
        </w:rPr>
        <w:fldChar w:fldCharType="end"/>
      </w:r>
      <w:bookmarkEnd w:id="1"/>
      <w:r>
        <w:rPr>
          <w:rFonts w:hint="eastAsia" w:ascii="楷体_GB2312" w:hAnsi="楷体_GB2312" w:eastAsia="楷体_GB2312" w:cs="楷体_GB2312"/>
          <w:sz w:val="40"/>
          <w:szCs w:val="40"/>
        </w:rPr>
        <w:t>美国禁止中资电动汽车品牌极星在美销售新车</w:t>
      </w:r>
    </w:p>
    <w:p w14:paraId="3B627E4B">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楷体_GB2312" w:hAnsi="楷体_GB2312" w:eastAsia="楷体_GB2312" w:cs="楷体_GB2312"/>
          <w:sz w:val="40"/>
          <w:szCs w:val="40"/>
        </w:rPr>
        <w:t>亚洲空调制造商受益于欧洲破纪录热浪</w:t>
      </w:r>
    </w:p>
    <w:p w14:paraId="1FB594F6">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楷体_GB2312" w:hAnsi="楷体_GB2312" w:eastAsia="楷体_GB2312" w:cs="楷体_GB2312"/>
          <w:sz w:val="40"/>
          <w:szCs w:val="40"/>
        </w:rPr>
        <w:t>委内瑞拉7.5级强震致数百人遇难</w:t>
      </w:r>
    </w:p>
    <w:p w14:paraId="7CD2AE15">
      <w:pPr>
        <w:numPr>
          <w:ilvl w:val="0"/>
          <w:numId w:val="1"/>
        </w:numPr>
        <w:spacing w:before="156" w:beforeLines="50" w:after="156" w:afterLines="50" w:line="560" w:lineRule="exact"/>
        <w:rPr>
          <w:rFonts w:ascii="楷体_GB2312" w:hAnsi="楷体_GB2312" w:eastAsia="楷体_GB2312" w:cs="楷体_GB2312"/>
          <w:sz w:val="40"/>
          <w:szCs w:val="40"/>
        </w:rPr>
      </w:pPr>
      <w:r>
        <w:rPr>
          <w:rFonts w:hint="eastAsia" w:ascii="楷体_GB2312" w:hAnsi="楷体_GB2312" w:eastAsia="楷体_GB2312" w:cs="楷体_GB2312"/>
          <w:sz w:val="40"/>
          <w:szCs w:val="40"/>
        </w:rPr>
        <w:t>巴西计划发行最大规模熊猫债券</w:t>
      </w:r>
    </w:p>
    <w:p w14:paraId="27481782">
      <w:pPr>
        <w:numPr>
          <w:ilvl w:val="0"/>
          <w:numId w:val="1"/>
        </w:numPr>
        <w:spacing w:before="156" w:beforeLines="50" w:after="156" w:afterLines="50" w:line="560" w:lineRule="exact"/>
        <w:rPr>
          <w:rFonts w:ascii="楷体_GB2312" w:hAnsi="楷体_GB2312" w:eastAsia="楷体_GB2312" w:cs="楷体_GB2312"/>
          <w:sz w:val="40"/>
          <w:szCs w:val="40"/>
        </w:rPr>
        <w:sectPr>
          <w:footerReference r:id="rId5" w:type="default"/>
          <w:pgSz w:w="11906" w:h="16838"/>
          <w:pgMar w:top="1797" w:right="1440" w:bottom="1797" w:left="1440" w:header="851" w:footer="992" w:gutter="0"/>
          <w:pgNumType w:start="1"/>
          <w:cols w:space="720" w:num="1"/>
          <w:docGrid w:type="lines" w:linePitch="312" w:charSpace="0"/>
        </w:sectPr>
      </w:pPr>
      <w:bookmarkStart w:id="5" w:name="_GoBack"/>
      <w:bookmarkEnd w:id="5"/>
    </w:p>
    <w:p w14:paraId="6A629733">
      <w:pPr>
        <w:keepNext w:val="0"/>
        <w:keepLines w:val="0"/>
        <w:pageBreakBefore w:val="0"/>
        <w:widowControl w:val="0"/>
        <w:kinsoku/>
        <w:wordWrap/>
        <w:overflowPunct/>
        <w:topLinePunct w:val="0"/>
        <w:autoSpaceDE/>
        <w:autoSpaceDN/>
        <w:bidi w:val="0"/>
        <w:adjustRightInd/>
        <w:snapToGrid/>
        <w:spacing w:line="560" w:lineRule="exact"/>
        <w:textAlignment w:val="auto"/>
        <w:rPr>
          <w:rFonts w:ascii="仿宋" w:hAnsi="仿宋" w:eastAsia="仿宋"/>
          <w:b/>
          <w:bCs/>
          <w:sz w:val="32"/>
          <w:szCs w:val="32"/>
        </w:rPr>
      </w:pPr>
      <w:bookmarkStart w:id="2" w:name="OLE_LINK11"/>
      <w:bookmarkStart w:id="3" w:name="OLE_LINK53"/>
      <w:r>
        <w:rPr>
          <w:rFonts w:hint="eastAsia"/>
          <w:b/>
          <w:bCs/>
          <w:sz w:val="32"/>
          <w:szCs w:val="32"/>
        </w:rPr>
        <w:t>路透社、南华早报：美国扩张Pax Silica联盟推进AI供应链排华布局</w:t>
      </w:r>
    </w:p>
    <w:p w14:paraId="057B9F2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6</w:t>
      </w:r>
    </w:p>
    <w:p w14:paraId="0EAF75F9">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美国总统特朗普为确保人工智能发展所需关键技术供应而发起的</w:t>
      </w:r>
      <w:r>
        <w:rPr>
          <w:rFonts w:hint="eastAsia" w:cs="仿宋_GB2312"/>
          <w:b/>
          <w:bCs/>
          <w:sz w:val="32"/>
          <w:lang w:val="zh-CN" w:eastAsia="zh-CN"/>
        </w:rPr>
        <w:t>“</w:t>
      </w:r>
      <w:r>
        <w:rPr>
          <w:rFonts w:ascii="仿宋_GB2312" w:hAnsi="仿宋_GB2312" w:eastAsia="仿宋_GB2312" w:cs="仿宋_GB2312"/>
          <w:b/>
          <w:bCs/>
          <w:sz w:val="32"/>
          <w:lang w:val="zh-CN" w:eastAsia="zh-CN"/>
        </w:rPr>
        <w:t>硅谷和平计划</w:t>
      </w:r>
      <w:r>
        <w:rPr>
          <w:rFonts w:hint="eastAsia" w:cs="仿宋_GB2312"/>
          <w:b/>
          <w:bCs/>
          <w:sz w:val="32"/>
          <w:lang w:val="zh-CN" w:eastAsia="zh-CN"/>
        </w:rPr>
        <w:t>”</w:t>
      </w:r>
      <w:r>
        <w:rPr>
          <w:rFonts w:ascii="仿宋_GB2312" w:hAnsi="仿宋_GB2312" w:eastAsia="仿宋_GB2312" w:cs="仿宋_GB2312"/>
          <w:b/>
          <w:bCs/>
          <w:sz w:val="32"/>
          <w:lang w:val="zh-CN" w:eastAsia="zh-CN"/>
        </w:rPr>
        <w:t>（Pax Silica）于周四扩大了影响力，35个国家签署了关于人工智能机遇的宣言。</w:t>
      </w:r>
      <w:r>
        <w:rPr>
          <w:rFonts w:ascii="仿宋_GB2312" w:hAnsi="仿宋_GB2312" w:eastAsia="仿宋_GB2312" w:cs="仿宋_GB2312"/>
          <w:b w:val="0"/>
          <w:sz w:val="32"/>
          <w:lang w:val="zh-CN" w:eastAsia="zh-CN"/>
        </w:rPr>
        <w:t>美国负责经济事务的副国务卿赫尔伯格将其描述为未来几年在人工智能领域的共同承诺，并称</w:t>
      </w:r>
      <w:r>
        <w:rPr>
          <w:rFonts w:hint="eastAsia" w:cs="仿宋_GB2312"/>
          <w:b w:val="0"/>
          <w:sz w:val="32"/>
          <w:lang w:val="zh-CN" w:eastAsia="zh-CN"/>
        </w:rPr>
        <w:t>“</w:t>
      </w:r>
      <w:r>
        <w:rPr>
          <w:rFonts w:ascii="仿宋_GB2312" w:hAnsi="仿宋_GB2312" w:eastAsia="仿宋_GB2312" w:cs="仿宋_GB2312"/>
          <w:b w:val="0"/>
          <w:sz w:val="32"/>
          <w:lang w:val="zh-CN" w:eastAsia="zh-CN"/>
        </w:rPr>
        <w:t>该宣言体现了一个简单但重要的理念，即各国政府不应主要从限制的角度看待人工智能，而应从机遇的角度看待它</w:t>
      </w:r>
      <w:r>
        <w:rPr>
          <w:rFonts w:hint="eastAsia" w:cs="仿宋_GB2312"/>
          <w:b w:val="0"/>
          <w:sz w:val="32"/>
          <w:lang w:val="zh-CN" w:eastAsia="zh-CN"/>
        </w:rPr>
        <w:t>”</w:t>
      </w:r>
      <w:r>
        <w:rPr>
          <w:rFonts w:ascii="仿宋_GB2312" w:hAnsi="仿宋_GB2312" w:eastAsia="仿宋_GB2312" w:cs="仿宋_GB2312"/>
          <w:b w:val="0"/>
          <w:sz w:val="32"/>
          <w:lang w:val="zh-CN" w:eastAsia="zh-CN"/>
        </w:rPr>
        <w:t>。</w:t>
      </w:r>
    </w:p>
    <w:p w14:paraId="1DE8CF3C">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该联盟最初只有少数几个国家，但几个月前才成立，目前成员已包括阿根廷、澳大利亚、哥斯达黎加、欧盟、芬兰、德国、希腊、印度、以色列、日本、哈萨克斯坦、荷兰、挪威、卡塔尔、韩国、新加坡、瑞典、菲律宾、阿联酋、美国和英国。有人认为，此举旨在削弱中国在人工智能领域争夺主导地位的竞赛中对技术供应链的潜在主导地位。尽管大型语言模型在AI领域往往最受用户关注，但该领域的发展得益于功能日益强大的半导体、关键矿物和高水平的能源，近年来所有这些因素的重要性使得人们更加关注全球供应商。</w:t>
      </w:r>
    </w:p>
    <w:p w14:paraId="039BC550">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美国官员还宣布了一项名为</w:t>
      </w:r>
      <w:r>
        <w:rPr>
          <w:rFonts w:hint="eastAsia" w:cs="仿宋_GB2312"/>
          <w:b/>
          <w:bCs/>
          <w:sz w:val="32"/>
          <w:lang w:val="zh-CN" w:eastAsia="zh-CN"/>
        </w:rPr>
        <w:t>“</w:t>
      </w:r>
      <w:r>
        <w:rPr>
          <w:rFonts w:ascii="仿宋_GB2312" w:hAnsi="仿宋_GB2312" w:eastAsia="仿宋_GB2312" w:cs="仿宋_GB2312"/>
          <w:b/>
          <w:bCs/>
          <w:sz w:val="32"/>
          <w:lang w:val="zh-CN" w:eastAsia="zh-CN"/>
        </w:rPr>
        <w:t>Pax Pass</w:t>
      </w:r>
      <w:r>
        <w:rPr>
          <w:rFonts w:hint="eastAsia" w:cs="仿宋_GB2312"/>
          <w:b/>
          <w:bCs/>
          <w:sz w:val="32"/>
          <w:lang w:val="zh-CN" w:eastAsia="zh-CN"/>
        </w:rPr>
        <w:t>”</w:t>
      </w:r>
      <w:r>
        <w:rPr>
          <w:rFonts w:ascii="仿宋_GB2312" w:hAnsi="仿宋_GB2312" w:eastAsia="仿宋_GB2312" w:cs="仿宋_GB2312"/>
          <w:b/>
          <w:bCs/>
          <w:sz w:val="32"/>
          <w:lang w:val="zh-CN" w:eastAsia="zh-CN"/>
        </w:rPr>
        <w:t>的5000万美元计划</w:t>
      </w:r>
      <w:r>
        <w:rPr>
          <w:rFonts w:ascii="仿宋_GB2312" w:hAnsi="仿宋_GB2312" w:eastAsia="仿宋_GB2312" w:cs="仿宋_GB2312"/>
          <w:b w:val="0"/>
          <w:sz w:val="32"/>
          <w:lang w:val="zh-CN" w:eastAsia="zh-CN"/>
        </w:rPr>
        <w:t>，将通过货物验证、AI驱动的风险评估和预先批准的加急处理，帮助成员通过巴拿马运河运输高价值AI供应链产品。赫尔伯格还重点提及近期宣布与菲律宾建立的经济安全区，暗示未来将出现更多同类项目。</w:t>
      </w:r>
    </w:p>
    <w:p w14:paraId="4BA3C09F">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值得关注的是，在Pax Silica峰会期间，印度对美国此前突然限制Anthropic先进模型向外国公民开放表达了不安。印度电子信息技术部秘书克里希南表示，</w:t>
      </w:r>
      <w:r>
        <w:rPr>
          <w:rFonts w:hint="eastAsia" w:cs="仿宋_GB2312"/>
          <w:b w:val="0"/>
          <w:sz w:val="32"/>
          <w:lang w:val="zh-CN" w:eastAsia="zh-CN"/>
        </w:rPr>
        <w:t>“</w:t>
      </w:r>
      <w:r>
        <w:rPr>
          <w:rFonts w:ascii="仿宋_GB2312" w:hAnsi="仿宋_GB2312" w:eastAsia="仿宋_GB2312" w:cs="仿宋_GB2312"/>
          <w:b w:val="0"/>
          <w:sz w:val="32"/>
          <w:lang w:val="zh-CN" w:eastAsia="zh-CN"/>
        </w:rPr>
        <w:t>双方达成了一种共识，而且他们（美国官员）也确实提到过，一旦提供技术，就不会切断获取途径。我认为这是一种保证。</w:t>
      </w:r>
      <w:r>
        <w:rPr>
          <w:rFonts w:hint="eastAsia" w:cs="仿宋_GB2312"/>
          <w:b w:val="0"/>
          <w:sz w:val="32"/>
          <w:lang w:val="zh-CN" w:eastAsia="zh-CN"/>
        </w:rPr>
        <w:t>”</w:t>
      </w:r>
      <w:r>
        <w:rPr>
          <w:rFonts w:ascii="仿宋_GB2312" w:hAnsi="仿宋_GB2312" w:eastAsia="仿宋_GB2312" w:cs="仿宋_GB2312"/>
          <w:b w:val="0"/>
          <w:sz w:val="32"/>
          <w:lang w:val="zh-CN" w:eastAsia="zh-CN"/>
        </w:rPr>
        <w:t>此前6月初，特朗普政府以国家安全为由发布出口管制指令，</w:t>
      </w:r>
      <w:r>
        <w:rPr>
          <w:rFonts w:ascii="仿宋_GB2312" w:hAnsi="仿宋_GB2312" w:eastAsia="仿宋_GB2312" w:cs="仿宋_GB2312"/>
          <w:b/>
          <w:bCs/>
          <w:sz w:val="32"/>
          <w:lang w:val="zh-CN" w:eastAsia="zh-CN"/>
        </w:rPr>
        <w:t>禁止外国公民使用Anthropic最先进的人工智能模型Fable 5和Mythos 5</w:t>
      </w:r>
      <w:r>
        <w:rPr>
          <w:rFonts w:ascii="仿宋_GB2312" w:hAnsi="仿宋_GB2312" w:eastAsia="仿宋_GB2312" w:cs="仿宋_GB2312"/>
          <w:b w:val="0"/>
          <w:sz w:val="32"/>
          <w:lang w:val="zh-CN" w:eastAsia="zh-CN"/>
        </w:rPr>
        <w:t>，随后该公司在全球范围内切断了这两款模型的供应。</w:t>
      </w:r>
    </w:p>
    <w:p w14:paraId="7333C2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cs="仿宋_GB2312"/>
          <w:sz w:val="32"/>
          <w:szCs w:val="32"/>
        </w:rPr>
      </w:pPr>
      <w:r>
        <w:rPr>
          <w:rFonts w:ascii="仿宋_GB2312" w:hAnsi="仿宋_GB2312" w:eastAsia="仿宋_GB2312" w:cs="仿宋_GB2312"/>
          <w:b w:val="0"/>
          <w:sz w:val="32"/>
          <w:lang w:val="zh-CN" w:eastAsia="zh-CN"/>
        </w:rPr>
        <w:t>对Anthropic模型的限制引发了盟国首都的不安。法国总统马克龙批评此举是</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纯粹的民族主义</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，加拿大总理卡尼也表示这些管控措施凸显了</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过度依赖某些模式</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的风险。尽管如此，Pax Silica仍在继续扩大。美国财政部长贝森特近日在纽约经济俱乐部表示，</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人工智能面临的最大风险是中国领先于我们</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，这比对安全或失业的担忧更为严重。接近讨论的消息人士称，中国在AI领域的雄心及其在关键矿产供应链中的主导地位仍是该联盟的主要约束因素。美国国务院代表则表示，</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确保美国的技术主导地位和保护关键技术并不相互排斥</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 xml:space="preserve">，Pax Silica </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正是建立在这一理解之上</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w:t>
      </w:r>
    </w:p>
    <w:p w14:paraId="7295F1A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rPr>
      </w:pPr>
    </w:p>
    <w:p w14:paraId="7D65C832">
      <w:pPr>
        <w:keepNext w:val="0"/>
        <w:keepLines w:val="0"/>
        <w:pageBreakBefore w:val="0"/>
        <w:widowControl w:val="0"/>
        <w:kinsoku/>
        <w:wordWrap/>
        <w:overflowPunct/>
        <w:topLinePunct w:val="0"/>
        <w:autoSpaceDE/>
        <w:autoSpaceDN/>
        <w:bidi w:val="0"/>
        <w:adjustRightInd/>
        <w:snapToGrid/>
        <w:spacing w:line="560" w:lineRule="exact"/>
        <w:textAlignment w:val="auto"/>
        <w:rPr>
          <w:b/>
          <w:bCs/>
          <w:sz w:val="32"/>
          <w:szCs w:val="32"/>
        </w:rPr>
      </w:pPr>
      <w:r>
        <w:rPr>
          <w:rFonts w:hint="eastAsia"/>
          <w:b/>
          <w:bCs/>
          <w:sz w:val="32"/>
          <w:szCs w:val="32"/>
        </w:rPr>
        <w:t>BBC：中国芯片出口额暴增110%引发</w:t>
      </w:r>
      <w:r>
        <w:rPr>
          <w:rFonts w:hint="eastAsia"/>
          <w:b/>
          <w:bCs/>
          <w:sz w:val="32"/>
          <w:szCs w:val="32"/>
          <w:lang w:eastAsia="zh-CN"/>
        </w:rPr>
        <w:t>“</w:t>
      </w:r>
      <w:r>
        <w:rPr>
          <w:rFonts w:hint="eastAsia"/>
          <w:b/>
          <w:bCs/>
          <w:sz w:val="32"/>
          <w:szCs w:val="32"/>
        </w:rPr>
        <w:t>封锁失败</w:t>
      </w:r>
      <w:r>
        <w:rPr>
          <w:rFonts w:hint="eastAsia"/>
          <w:b/>
          <w:bCs/>
          <w:sz w:val="32"/>
          <w:szCs w:val="32"/>
          <w:lang w:eastAsia="zh-CN"/>
        </w:rPr>
        <w:t>”</w:t>
      </w:r>
      <w:r>
        <w:rPr>
          <w:rFonts w:hint="eastAsia"/>
          <w:b/>
          <w:bCs/>
          <w:sz w:val="32"/>
          <w:szCs w:val="32"/>
        </w:rPr>
        <w:t>讨论</w:t>
      </w:r>
    </w:p>
    <w:p w14:paraId="44BE2F8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5</w:t>
      </w:r>
    </w:p>
    <w:p w14:paraId="4DCE55A3">
      <w:pPr>
        <w:pStyle w:val="21"/>
        <w:keepNext w:val="0"/>
        <w:keepLines w:val="0"/>
        <w:pageBreakBefore w:val="0"/>
        <w:widowControl w:val="0"/>
        <w:kinsoku/>
        <w:wordWrap/>
        <w:overflowPunct/>
        <w:topLinePunct w:val="0"/>
        <w:autoSpaceDE/>
        <w:autoSpaceDN/>
        <w:bidi w:val="0"/>
        <w:adjustRightInd/>
        <w:snapToGrid/>
        <w:textAlignment w:val="auto"/>
      </w:pPr>
      <w:r>
        <w:rPr>
          <w:rFonts w:hint="eastAsia" w:cs="仿宋_GB2312"/>
          <w:b/>
          <w:bCs/>
          <w:sz w:val="32"/>
          <w:lang w:val="zh-CN" w:eastAsia="zh-CN"/>
        </w:rPr>
        <w:t>“</w:t>
      </w:r>
      <w:r>
        <w:rPr>
          <w:rFonts w:ascii="仿宋_GB2312" w:hAnsi="仿宋_GB2312" w:eastAsia="仿宋_GB2312" w:cs="仿宋_GB2312"/>
          <w:b/>
          <w:bCs/>
          <w:sz w:val="32"/>
          <w:lang w:val="zh-CN" w:eastAsia="zh-CN"/>
        </w:rPr>
        <w:t>去年我国第一大出口产品为芯片。</w:t>
      </w:r>
      <w:r>
        <w:rPr>
          <w:rFonts w:hint="eastAsia" w:cs="仿宋_GB2312"/>
          <w:b/>
          <w:bCs/>
          <w:sz w:val="32"/>
          <w:lang w:val="zh-CN" w:eastAsia="zh-CN"/>
        </w:rPr>
        <w:t>”</w:t>
      </w:r>
      <w:r>
        <w:rPr>
          <w:rFonts w:ascii="仿宋_GB2312" w:hAnsi="仿宋_GB2312" w:eastAsia="仿宋_GB2312" w:cs="仿宋_GB2312"/>
          <w:b/>
          <w:bCs/>
          <w:sz w:val="32"/>
          <w:lang w:val="zh-CN" w:eastAsia="zh-CN"/>
        </w:rPr>
        <w:t>前重庆市长黄奇帆在一场公开演讲中的言论，在社交媒体上引起广泛讨论，</w:t>
      </w:r>
      <w:r>
        <w:rPr>
          <w:rFonts w:hint="eastAsia" w:cs="仿宋_GB2312"/>
          <w:b/>
          <w:bCs/>
          <w:sz w:val="32"/>
          <w:lang w:val="zh-CN" w:eastAsia="zh-CN"/>
        </w:rPr>
        <w:t>“</w:t>
      </w:r>
      <w:r>
        <w:rPr>
          <w:rFonts w:ascii="仿宋_GB2312" w:hAnsi="仿宋_GB2312" w:eastAsia="仿宋_GB2312" w:cs="仿宋_GB2312"/>
          <w:b/>
          <w:bCs/>
          <w:sz w:val="32"/>
          <w:lang w:val="zh-CN" w:eastAsia="zh-CN"/>
        </w:rPr>
        <w:t>封锁失败</w:t>
      </w:r>
      <w:r>
        <w:rPr>
          <w:rFonts w:hint="eastAsia" w:cs="仿宋_GB2312"/>
          <w:b/>
          <w:bCs/>
          <w:sz w:val="32"/>
          <w:lang w:val="zh-CN" w:eastAsia="zh-CN"/>
        </w:rPr>
        <w:t>”“</w:t>
      </w:r>
      <w:r>
        <w:rPr>
          <w:rFonts w:ascii="仿宋_GB2312" w:hAnsi="仿宋_GB2312" w:eastAsia="仿宋_GB2312" w:cs="仿宋_GB2312"/>
          <w:b/>
          <w:bCs/>
          <w:sz w:val="32"/>
          <w:lang w:val="zh-CN" w:eastAsia="zh-CN"/>
        </w:rPr>
        <w:t>芯片逆袭</w:t>
      </w:r>
      <w:r>
        <w:rPr>
          <w:rFonts w:hint="eastAsia" w:cs="仿宋_GB2312"/>
          <w:b/>
          <w:bCs/>
          <w:sz w:val="32"/>
          <w:lang w:val="zh-CN" w:eastAsia="zh-CN"/>
        </w:rPr>
        <w:t>”</w:t>
      </w:r>
      <w:r>
        <w:rPr>
          <w:rFonts w:ascii="仿宋_GB2312" w:hAnsi="仿宋_GB2312" w:eastAsia="仿宋_GB2312" w:cs="仿宋_GB2312"/>
          <w:b/>
          <w:bCs/>
          <w:sz w:val="32"/>
          <w:lang w:val="zh-CN" w:eastAsia="zh-CN"/>
        </w:rPr>
        <w:t>的叙事随即出现。</w:t>
      </w:r>
      <w:r>
        <w:rPr>
          <w:rFonts w:ascii="仿宋_GB2312" w:hAnsi="仿宋_GB2312" w:eastAsia="仿宋_GB2312" w:cs="仿宋_GB2312"/>
          <w:b w:val="0"/>
          <w:sz w:val="32"/>
          <w:lang w:val="zh-CN" w:eastAsia="zh-CN"/>
        </w:rPr>
        <w:t>2026年5月，中国海关公布数据显示，</w:t>
      </w:r>
      <w:r>
        <w:rPr>
          <w:rFonts w:ascii="仿宋_GB2312" w:hAnsi="仿宋_GB2312" w:eastAsia="仿宋_GB2312" w:cs="仿宋_GB2312"/>
          <w:b/>
          <w:bCs/>
          <w:sz w:val="32"/>
          <w:lang w:val="zh-CN" w:eastAsia="zh-CN"/>
        </w:rPr>
        <w:t>集成电路出口销售额355.5亿美元，同比暴增110.9%</w:t>
      </w:r>
      <w:r>
        <w:rPr>
          <w:rFonts w:ascii="仿宋_GB2312" w:hAnsi="仿宋_GB2312" w:eastAsia="仿宋_GB2312" w:cs="仿宋_GB2312"/>
          <w:b w:val="0"/>
          <w:sz w:val="32"/>
          <w:lang w:val="zh-CN" w:eastAsia="zh-CN"/>
        </w:rPr>
        <w:t>，集成电路在出口量和出口额上均成为最大出口商品。黄奇帆的话看似</w:t>
      </w:r>
      <w:r>
        <w:rPr>
          <w:rFonts w:hint="eastAsia" w:cs="仿宋_GB2312"/>
          <w:b w:val="0"/>
          <w:sz w:val="32"/>
          <w:lang w:val="zh-CN" w:eastAsia="zh-CN"/>
        </w:rPr>
        <w:t>“</w:t>
      </w:r>
      <w:r>
        <w:rPr>
          <w:rFonts w:ascii="仿宋_GB2312" w:hAnsi="仿宋_GB2312" w:eastAsia="仿宋_GB2312" w:cs="仿宋_GB2312"/>
          <w:b w:val="0"/>
          <w:sz w:val="32"/>
          <w:lang w:val="zh-CN" w:eastAsia="zh-CN"/>
        </w:rPr>
        <w:t>惊人之语</w:t>
      </w:r>
      <w:r>
        <w:rPr>
          <w:rFonts w:hint="eastAsia" w:cs="仿宋_GB2312"/>
          <w:b w:val="0"/>
          <w:sz w:val="32"/>
          <w:lang w:val="zh-CN" w:eastAsia="zh-CN"/>
        </w:rPr>
        <w:t>”</w:t>
      </w:r>
      <w:r>
        <w:rPr>
          <w:rFonts w:ascii="仿宋_GB2312" w:hAnsi="仿宋_GB2312" w:eastAsia="仿宋_GB2312" w:cs="仿宋_GB2312"/>
          <w:b w:val="0"/>
          <w:sz w:val="32"/>
          <w:lang w:val="zh-CN" w:eastAsia="zh-CN"/>
        </w:rPr>
        <w:t>，但并非空穴来风。</w:t>
      </w:r>
    </w:p>
    <w:p w14:paraId="3276CC3A">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但这个数字需要拆开来看。最直观的反差是：</w:t>
      </w:r>
      <w:r>
        <w:rPr>
          <w:rFonts w:ascii="仿宋_GB2312" w:hAnsi="仿宋_GB2312" w:eastAsia="仿宋_GB2312" w:cs="仿宋_GB2312"/>
          <w:b/>
          <w:bCs/>
          <w:sz w:val="32"/>
          <w:lang w:val="zh-CN" w:eastAsia="zh-CN"/>
        </w:rPr>
        <w:t>5月芯片出口金额翻了一倍多，出口芯片产品的数量却只增长了2.1%</w:t>
      </w:r>
      <w:r>
        <w:rPr>
          <w:rFonts w:ascii="仿宋_GB2312" w:hAnsi="仿宋_GB2312" w:eastAsia="仿宋_GB2312" w:cs="仿宋_GB2312"/>
          <w:b w:val="0"/>
          <w:sz w:val="32"/>
          <w:lang w:val="zh-CN" w:eastAsia="zh-CN"/>
        </w:rPr>
        <w:t>。金额暴涨的推手不是产能跃升，而是存储芯片涨价。两种主力产品中，</w:t>
      </w:r>
      <w:r>
        <w:rPr>
          <w:rFonts w:ascii="仿宋_GB2312" w:hAnsi="仿宋_GB2312" w:eastAsia="仿宋_GB2312" w:cs="仿宋_GB2312"/>
          <w:b/>
          <w:bCs/>
          <w:sz w:val="32"/>
          <w:lang w:val="zh-CN" w:eastAsia="zh-CN"/>
        </w:rPr>
        <w:t>DRAM合约价季度涨幅达90%至95%，NAND闪存涨70%至75%。</w:t>
      </w:r>
      <w:r>
        <w:rPr>
          <w:rFonts w:ascii="仿宋_GB2312" w:hAnsi="仿宋_GB2312" w:eastAsia="仿宋_GB2312" w:cs="仿宋_GB2312"/>
          <w:b w:val="0"/>
          <w:sz w:val="32"/>
          <w:lang w:val="zh-CN" w:eastAsia="zh-CN"/>
        </w:rPr>
        <w:t>金融数据服务商Wind数据显示，一款主流内存芯片的合约均价从2023年低点的约1.5美元涨至2026年4月突破12美元，涨幅超过700%。中国知名经济学家任泽平将此定义为</w:t>
      </w:r>
      <w:r>
        <w:rPr>
          <w:rFonts w:hint="eastAsia" w:cs="仿宋_GB2312"/>
          <w:b w:val="0"/>
          <w:sz w:val="32"/>
          <w:lang w:val="zh-CN" w:eastAsia="zh-CN"/>
        </w:rPr>
        <w:t>“</w:t>
      </w:r>
      <w:r>
        <w:rPr>
          <w:rFonts w:ascii="仿宋_GB2312" w:hAnsi="仿宋_GB2312" w:eastAsia="仿宋_GB2312" w:cs="仿宋_GB2312"/>
          <w:b w:val="0"/>
          <w:sz w:val="32"/>
          <w:lang w:val="zh-CN" w:eastAsia="zh-CN"/>
        </w:rPr>
        <w:t>全球存储超级周期</w:t>
      </w:r>
      <w:r>
        <w:rPr>
          <w:rFonts w:hint="eastAsia" w:cs="仿宋_GB2312"/>
          <w:b w:val="0"/>
          <w:sz w:val="32"/>
          <w:lang w:val="zh-CN" w:eastAsia="zh-CN"/>
        </w:rPr>
        <w:t>”</w:t>
      </w:r>
      <w:r>
        <w:rPr>
          <w:rFonts w:ascii="仿宋_GB2312" w:hAnsi="仿宋_GB2312" w:eastAsia="仿宋_GB2312" w:cs="仿宋_GB2312"/>
          <w:b w:val="0"/>
          <w:sz w:val="32"/>
          <w:lang w:val="zh-CN" w:eastAsia="zh-CN"/>
        </w:rPr>
        <w:t>，并认为存储芯片进入</w:t>
      </w:r>
      <w:r>
        <w:rPr>
          <w:rFonts w:hint="eastAsia" w:cs="仿宋_GB2312"/>
          <w:b w:val="0"/>
          <w:sz w:val="32"/>
          <w:lang w:val="zh-CN" w:eastAsia="zh-CN"/>
        </w:rPr>
        <w:t>“</w:t>
      </w:r>
      <w:r>
        <w:rPr>
          <w:rFonts w:ascii="仿宋_GB2312" w:hAnsi="仿宋_GB2312" w:eastAsia="仿宋_GB2312" w:cs="仿宋_GB2312"/>
          <w:b w:val="0"/>
          <w:sz w:val="32"/>
          <w:lang w:val="zh-CN" w:eastAsia="zh-CN"/>
        </w:rPr>
        <w:t>史诗级涨价</w:t>
      </w:r>
      <w:r>
        <w:rPr>
          <w:rFonts w:hint="eastAsia" w:cs="仿宋_GB2312"/>
          <w:b w:val="0"/>
          <w:sz w:val="32"/>
          <w:lang w:val="zh-CN" w:eastAsia="zh-CN"/>
        </w:rPr>
        <w:t>”</w:t>
      </w:r>
      <w:r>
        <w:rPr>
          <w:rFonts w:ascii="仿宋_GB2312" w:hAnsi="仿宋_GB2312" w:eastAsia="仿宋_GB2312" w:cs="仿宋_GB2312"/>
          <w:b w:val="0"/>
          <w:sz w:val="32"/>
          <w:lang w:val="zh-CN" w:eastAsia="zh-CN"/>
        </w:rPr>
        <w:t>，背后是AI算力需求拉动。存储芯片占中国芯片出口额的约65%，成为这轮增长的第一支柱。</w:t>
      </w:r>
    </w:p>
    <w:p w14:paraId="467B26E1">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墨卡托中国研究所研究员张文怡表示，</w:t>
      </w:r>
      <w:r>
        <w:rPr>
          <w:rFonts w:hint="eastAsia" w:cs="仿宋_GB2312"/>
          <w:b w:val="0"/>
          <w:sz w:val="32"/>
          <w:lang w:val="zh-CN" w:eastAsia="zh-CN"/>
        </w:rPr>
        <w:t>“</w:t>
      </w:r>
      <w:r>
        <w:rPr>
          <w:rFonts w:ascii="仿宋_GB2312" w:hAnsi="仿宋_GB2312" w:eastAsia="仿宋_GB2312" w:cs="仿宋_GB2312"/>
          <w:b w:val="0"/>
          <w:sz w:val="32"/>
          <w:lang w:val="zh-CN" w:eastAsia="zh-CN"/>
        </w:rPr>
        <w:t>出口额增长的最大驱动力在于全球存储芯片的短缺，这导致了价格飙升。当全球领先企业将注意力转向用于AI的高端存储芯片时，中国本土的存储芯片制造商得以增加了其内存和闪存产品的出口。</w:t>
      </w:r>
      <w:r>
        <w:rPr>
          <w:rFonts w:hint="eastAsia" w:cs="仿宋_GB2312"/>
          <w:b w:val="0"/>
          <w:sz w:val="32"/>
          <w:lang w:val="zh-CN" w:eastAsia="zh-CN"/>
        </w:rPr>
        <w:t>”</w:t>
      </w:r>
      <w:r>
        <w:rPr>
          <w:rFonts w:ascii="仿宋_GB2312" w:hAnsi="仿宋_GB2312" w:eastAsia="仿宋_GB2312" w:cs="仿宋_GB2312"/>
          <w:b w:val="0"/>
          <w:sz w:val="32"/>
          <w:lang w:val="zh-CN" w:eastAsia="zh-CN"/>
        </w:rPr>
        <w:t>她同时表示，出口总额也包含了三星在西安工厂、SK海力士在无锡和大连工厂等外国存储器制造商的出口量，</w:t>
      </w:r>
      <w:r>
        <w:rPr>
          <w:rFonts w:hint="eastAsia" w:cs="仿宋_GB2312"/>
          <w:b w:val="0"/>
          <w:sz w:val="32"/>
          <w:lang w:val="zh-CN" w:eastAsia="zh-CN"/>
        </w:rPr>
        <w:t>“</w:t>
      </w:r>
      <w:r>
        <w:rPr>
          <w:rFonts w:ascii="仿宋_GB2312" w:hAnsi="仿宋_GB2312" w:eastAsia="仿宋_GB2312" w:cs="仿宋_GB2312"/>
          <w:b w:val="0"/>
          <w:sz w:val="32"/>
          <w:lang w:val="zh-CN" w:eastAsia="zh-CN"/>
        </w:rPr>
        <w:t>海关数据无法区分在中国制造和由中国制造</w:t>
      </w:r>
      <w:r>
        <w:rPr>
          <w:rFonts w:hint="eastAsia" w:cs="仿宋_GB2312"/>
          <w:b w:val="0"/>
          <w:sz w:val="32"/>
          <w:lang w:val="zh-CN" w:eastAsia="zh-CN"/>
        </w:rPr>
        <w:t>”</w:t>
      </w:r>
      <w:r>
        <w:rPr>
          <w:rFonts w:ascii="仿宋_GB2312" w:hAnsi="仿宋_GB2312" w:eastAsia="仿宋_GB2312" w:cs="仿宋_GB2312"/>
          <w:b w:val="0"/>
          <w:sz w:val="32"/>
          <w:lang w:val="zh-CN" w:eastAsia="zh-CN"/>
        </w:rPr>
        <w:t>。</w:t>
      </w:r>
    </w:p>
    <w:p w14:paraId="447FEA02">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在排除价格效应和外资产能后，中国自主芯片产业仍有真实进展。国际半导体产业协会统计显示，</w:t>
      </w:r>
      <w:r>
        <w:rPr>
          <w:rFonts w:ascii="仿宋_GB2312" w:hAnsi="仿宋_GB2312" w:eastAsia="仿宋_GB2312" w:cs="仿宋_GB2312"/>
          <w:b/>
          <w:bCs/>
          <w:sz w:val="32"/>
          <w:lang w:val="zh-CN" w:eastAsia="zh-CN"/>
        </w:rPr>
        <w:t>中国芯片产能目前占全球25%，全球新增产能中77%来自中国</w:t>
      </w:r>
      <w:r>
        <w:rPr>
          <w:rFonts w:ascii="仿宋_GB2312" w:hAnsi="仿宋_GB2312" w:eastAsia="仿宋_GB2312" w:cs="仿宋_GB2312"/>
          <w:b w:val="0"/>
          <w:sz w:val="32"/>
          <w:lang w:val="zh-CN" w:eastAsia="zh-CN"/>
        </w:rPr>
        <w:t>，集中在28纳米及以上成熟制程。</w:t>
      </w:r>
      <w:r>
        <w:rPr>
          <w:rFonts w:ascii="仿宋_GB2312" w:hAnsi="仿宋_GB2312" w:eastAsia="仿宋_GB2312" w:cs="仿宋_GB2312"/>
          <w:b/>
          <w:bCs/>
          <w:sz w:val="32"/>
          <w:lang w:val="zh-CN" w:eastAsia="zh-CN"/>
        </w:rPr>
        <w:t>到2030年，中国在成熟制程全球产能占比预计达52%。长鑫存储的内存全球份额已约8%，长江存储的闪存市占率超12%。</w:t>
      </w:r>
      <w:r>
        <w:rPr>
          <w:rFonts w:ascii="仿宋_GB2312" w:hAnsi="仿宋_GB2312" w:eastAsia="仿宋_GB2312" w:cs="仿宋_GB2312"/>
          <w:b w:val="0"/>
          <w:sz w:val="32"/>
          <w:lang w:val="zh-CN" w:eastAsia="zh-CN"/>
        </w:rPr>
        <w:t>但在先进制程方面，产能仍高度集中在台湾和美国，荷兰ASML公司在禁令后未向中国出口任何一台EUV光刻机。华盛顿智库ITIF在2024年一份报告中评估，中国在领先逻辑芯片高量产制造上约落后全球龙头五年。</w:t>
      </w:r>
    </w:p>
    <w:p w14:paraId="04B8F98A">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英伟达CEO黄仁勋多次公开反对对华芯片出口管制，他的逻辑是：</w:t>
      </w:r>
      <w:r>
        <w:rPr>
          <w:rFonts w:ascii="仿宋_GB2312" w:hAnsi="仿宋_GB2312" w:eastAsia="仿宋_GB2312" w:cs="仿宋_GB2312"/>
          <w:b/>
          <w:bCs/>
          <w:sz w:val="32"/>
          <w:lang w:val="zh-CN" w:eastAsia="zh-CN"/>
        </w:rPr>
        <w:t>中国拥有全球约50%的AI研究人员</w:t>
      </w:r>
      <w:r>
        <w:rPr>
          <w:rFonts w:ascii="仿宋_GB2312" w:hAnsi="仿宋_GB2312" w:eastAsia="仿宋_GB2312" w:cs="仿宋_GB2312"/>
          <w:b w:val="0"/>
          <w:sz w:val="32"/>
          <w:lang w:val="zh-CN" w:eastAsia="zh-CN"/>
        </w:rPr>
        <w:t>，如果这些人才继续在英伟达技术生态上开发，美国领先地位就能延续；一旦断供，他们就会转向国产方案。黄仁勋直言，出口管制</w:t>
      </w:r>
      <w:r>
        <w:rPr>
          <w:rFonts w:hint="eastAsia" w:cs="仿宋_GB2312"/>
          <w:b w:val="0"/>
          <w:sz w:val="32"/>
          <w:lang w:val="zh-CN" w:eastAsia="zh-CN"/>
        </w:rPr>
        <w:t>“</w:t>
      </w:r>
      <w:r>
        <w:rPr>
          <w:rFonts w:ascii="仿宋_GB2312" w:hAnsi="仿宋_GB2312" w:eastAsia="仿宋_GB2312" w:cs="仿宋_GB2312"/>
          <w:b w:val="0"/>
          <w:sz w:val="32"/>
          <w:lang w:val="zh-CN" w:eastAsia="zh-CN"/>
        </w:rPr>
        <w:t>给中国企业与政府带来了动力、资源与支持，反而加速了中国自主芯片产业的发展</w:t>
      </w:r>
      <w:r>
        <w:rPr>
          <w:rFonts w:hint="eastAsia" w:cs="仿宋_GB2312"/>
          <w:b w:val="0"/>
          <w:sz w:val="32"/>
          <w:lang w:val="zh-CN" w:eastAsia="zh-CN"/>
        </w:rPr>
        <w:t>”</w:t>
      </w:r>
      <w:r>
        <w:rPr>
          <w:rFonts w:ascii="仿宋_GB2312" w:hAnsi="仿宋_GB2312" w:eastAsia="仿宋_GB2312" w:cs="仿宋_GB2312"/>
          <w:b w:val="0"/>
          <w:sz w:val="32"/>
          <w:lang w:val="zh-CN" w:eastAsia="zh-CN"/>
        </w:rPr>
        <w:t>。英伟达在中国AI加速器市场的份额已从高峰时的95%跌至接近零，一个原本500亿美元的市场如今对美国厂商基本关闭。</w:t>
      </w:r>
    </w:p>
    <w:p w14:paraId="51D1FE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sz w:val="32"/>
          <w:szCs w:val="32"/>
        </w:rPr>
      </w:pPr>
    </w:p>
    <w:p w14:paraId="2F653860">
      <w:pPr>
        <w:keepNext w:val="0"/>
        <w:keepLines w:val="0"/>
        <w:pageBreakBefore w:val="0"/>
        <w:widowControl w:val="0"/>
        <w:kinsoku/>
        <w:wordWrap/>
        <w:overflowPunct/>
        <w:topLinePunct w:val="0"/>
        <w:autoSpaceDE/>
        <w:autoSpaceDN/>
        <w:bidi w:val="0"/>
        <w:adjustRightInd/>
        <w:snapToGrid/>
        <w:spacing w:line="560" w:lineRule="exact"/>
        <w:textAlignment w:val="auto"/>
        <w:rPr>
          <w:b/>
          <w:bCs/>
          <w:sz w:val="32"/>
          <w:szCs w:val="32"/>
        </w:rPr>
      </w:pPr>
      <w:r>
        <w:rPr>
          <w:rFonts w:hint="eastAsia"/>
          <w:b/>
          <w:bCs/>
          <w:sz w:val="32"/>
          <w:szCs w:val="32"/>
        </w:rPr>
        <w:t>华尔街日报：美国禁止中资电动汽车品牌极星在美销售新车</w:t>
      </w:r>
    </w:p>
    <w:p w14:paraId="5930789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5</w:t>
      </w:r>
    </w:p>
    <w:p w14:paraId="777A1527">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从沃尔沃分拆出来的中资控股电动汽车品牌极星（Polestar）将退出美国市场，因美国商务部禁止该公司在美国销售新车。</w:t>
      </w:r>
      <w:r>
        <w:rPr>
          <w:rFonts w:ascii="仿宋_GB2312" w:hAnsi="仿宋_GB2312" w:eastAsia="仿宋_GB2312" w:cs="仿宋_GB2312"/>
          <w:b w:val="0"/>
          <w:sz w:val="32"/>
          <w:lang w:val="zh-CN" w:eastAsia="zh-CN"/>
        </w:rPr>
        <w:t>美国此前出台新规，禁止联网新车使用中国软件，旨在防止车内摄像头和GPS追踪功能被外国敌对势力利用。极星由此成为该新规下首个倒下的主要汽车品牌。</w:t>
      </w:r>
    </w:p>
    <w:p w14:paraId="6FFA48BA">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由浙江吉利控股集团控制的极星表示，公司此前一直试图根据新规设定的程序，寻求美国商务部授权以继续在美售车，但该请求已被美国政府拒绝。该公司表示，极星将继续在美国销售现有库存车辆，并继续通过服务中心提供维修支持。美国商务部未立即回应置评请求。</w:t>
      </w:r>
    </w:p>
    <w:p w14:paraId="51D680DB">
      <w:pPr>
        <w:pStyle w:val="21"/>
        <w:keepNext w:val="0"/>
        <w:keepLines w:val="0"/>
        <w:pageBreakBefore w:val="0"/>
        <w:widowControl w:val="0"/>
        <w:kinsoku/>
        <w:wordWrap/>
        <w:overflowPunct/>
        <w:topLinePunct w:val="0"/>
        <w:autoSpaceDE/>
        <w:autoSpaceDN/>
        <w:bidi w:val="0"/>
        <w:adjustRightInd/>
        <w:snapToGrid/>
        <w:textAlignment w:val="auto"/>
        <w:rPr>
          <w:b/>
          <w:bCs/>
        </w:rPr>
      </w:pPr>
      <w:r>
        <w:rPr>
          <w:rFonts w:ascii="仿宋_GB2312" w:hAnsi="仿宋_GB2312" w:eastAsia="仿宋_GB2312" w:cs="仿宋_GB2312"/>
          <w:b w:val="0"/>
          <w:sz w:val="32"/>
          <w:lang w:val="zh-CN" w:eastAsia="zh-CN"/>
        </w:rPr>
        <w:t>在拜登政府时期制定的联网汽车规则以国家安全为由，限制进口或销售带有与中国相关软硬件的车辆。</w:t>
      </w:r>
      <w:r>
        <w:rPr>
          <w:rFonts w:ascii="仿宋_GB2312" w:hAnsi="仿宋_GB2312" w:eastAsia="仿宋_GB2312" w:cs="仿宋_GB2312"/>
          <w:b/>
          <w:bCs/>
          <w:sz w:val="32"/>
          <w:lang w:val="zh-CN" w:eastAsia="zh-CN"/>
        </w:rPr>
        <w:t>汽车制造商必须在今年3月前向美国政府证明其产品不包含在中国编写或由中国公司编写的代码，否则必须申请授权方可继续销售2027年款及后续车型的车辆。</w:t>
      </w:r>
    </w:p>
    <w:p w14:paraId="673645E6">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同样由吉利控股的沃尔沃已于今年5月获得继续在美国运营的授权。</w:t>
      </w:r>
      <w:r>
        <w:rPr>
          <w:rFonts w:ascii="仿宋_GB2312" w:hAnsi="仿宋_GB2312" w:eastAsia="仿宋_GB2312" w:cs="仿宋_GB2312"/>
          <w:b w:val="0"/>
          <w:sz w:val="32"/>
          <w:lang w:val="zh-CN" w:eastAsia="zh-CN"/>
        </w:rPr>
        <w:t>沃尔沃当时表示，获得授权的程序是个案审查方式，是在美国官员与该公司就技术及数据安全进行磋商后获批的。拒绝极星的请求标志着美国在封杀中资汽车在美销售方面迈出了最新一步，最近几周美国议员甚至提议立法全面禁止中国车企在美国本土造车。</w:t>
      </w:r>
    </w:p>
    <w:p w14:paraId="29105BB0">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极星最初是沃尔沃的高性能和赛车运动部门，2017年成为独立品牌，2021年通过特殊目的收购公司公开上市。</w:t>
      </w:r>
      <w:r>
        <w:rPr>
          <w:rFonts w:ascii="仿宋_GB2312" w:hAnsi="仿宋_GB2312" w:eastAsia="仿宋_GB2312" w:cs="仿宋_GB2312"/>
          <w:b w:val="0"/>
          <w:sz w:val="32"/>
          <w:lang w:val="zh-CN" w:eastAsia="zh-CN"/>
        </w:rPr>
        <w:t>当时全球汽车行业正陷入电动汽车狂热，传统汽车制造商和新入局者都在竞相追赶特斯拉高企的股价神话。极星成立之初推出了限量版极星1（售价15.6万美元的混合动力轿跑车）和极星2（在中国制造的运动型电动轿车，特斯拉Model 3的早期竞争对手）。但该品牌因产品阵容单薄而举步维艰，在买家主要青睐SUV和皮卡的美国市场尤为突出。极星股票最新报每股19.22美元，较2021年11月创下的459.90美元历史收盘高点暴跌了96%。极星的中国背景也带来了挑战：拜登和特朗普政府都对中国产汽车征收高额关税，导致极星2逐步退出美国市场。如今该品牌销售的车型包括在南卡罗来纳州一家沃尔沃工厂生产的极星3 SUV，以及从韩国进口的极星4 SUV。极星首席执行官迈克尔·洛谢勒在最近接受采访时称，公司正就争取豁免与</w:t>
      </w:r>
      <w:r>
        <w:rPr>
          <w:rFonts w:hint="eastAsia" w:cs="仿宋_GB2312"/>
          <w:b w:val="0"/>
          <w:sz w:val="32"/>
          <w:lang w:val="zh-CN" w:eastAsia="zh-CN"/>
        </w:rPr>
        <w:t>“</w:t>
      </w:r>
      <w:r>
        <w:rPr>
          <w:rFonts w:ascii="仿宋_GB2312" w:hAnsi="仿宋_GB2312" w:eastAsia="仿宋_GB2312" w:cs="仿宋_GB2312"/>
          <w:b w:val="0"/>
          <w:sz w:val="32"/>
          <w:lang w:val="zh-CN" w:eastAsia="zh-CN"/>
        </w:rPr>
        <w:t>政府部门保持着良好的沟通</w:t>
      </w:r>
      <w:r>
        <w:rPr>
          <w:rFonts w:hint="eastAsia" w:cs="仿宋_GB2312"/>
          <w:b w:val="0"/>
          <w:sz w:val="32"/>
          <w:lang w:val="zh-CN" w:eastAsia="zh-CN"/>
        </w:rPr>
        <w:t>”</w:t>
      </w:r>
      <w:r>
        <w:rPr>
          <w:rFonts w:ascii="仿宋_GB2312" w:hAnsi="仿宋_GB2312" w:eastAsia="仿宋_GB2312" w:cs="仿宋_GB2312"/>
          <w:b w:val="0"/>
          <w:sz w:val="32"/>
          <w:lang w:val="zh-CN" w:eastAsia="zh-CN"/>
        </w:rPr>
        <w:t>，并称</w:t>
      </w:r>
      <w:r>
        <w:rPr>
          <w:rFonts w:hint="eastAsia" w:cs="仿宋_GB2312"/>
          <w:b w:val="0"/>
          <w:sz w:val="32"/>
          <w:lang w:val="zh-CN" w:eastAsia="zh-CN"/>
        </w:rPr>
        <w:t>“</w:t>
      </w:r>
      <w:r>
        <w:rPr>
          <w:rFonts w:ascii="仿宋_GB2312" w:hAnsi="仿宋_GB2312" w:eastAsia="仿宋_GB2312" w:cs="仿宋_GB2312"/>
          <w:b w:val="0"/>
          <w:sz w:val="32"/>
          <w:lang w:val="zh-CN" w:eastAsia="zh-CN"/>
        </w:rPr>
        <w:t>美国很重要，因为这显然是一个大市场</w:t>
      </w:r>
      <w:r>
        <w:rPr>
          <w:rFonts w:hint="eastAsia" w:cs="仿宋_GB2312"/>
          <w:b w:val="0"/>
          <w:sz w:val="32"/>
          <w:lang w:val="zh-CN" w:eastAsia="zh-CN"/>
        </w:rPr>
        <w:t>”</w:t>
      </w:r>
      <w:r>
        <w:rPr>
          <w:rFonts w:ascii="仿宋_GB2312" w:hAnsi="仿宋_GB2312" w:eastAsia="仿宋_GB2312" w:cs="仿宋_GB2312"/>
          <w:b w:val="0"/>
          <w:sz w:val="32"/>
          <w:lang w:val="zh-CN" w:eastAsia="zh-CN"/>
        </w:rPr>
        <w:t>。但最终未获豁免，极星表示现在将专注于巩固其在欧洲的业务，欧洲市场占该品牌全球总销量的80%左右。</w:t>
      </w:r>
    </w:p>
    <w:p w14:paraId="59B50F3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Times New Roman" w:hAnsi="Times New Roman" w:eastAsia="仿宋_GB2312"/>
          <w:sz w:val="32"/>
          <w:szCs w:val="32"/>
        </w:rPr>
      </w:pPr>
    </w:p>
    <w:bookmarkEnd w:id="2"/>
    <w:p w14:paraId="384813C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b/>
          <w:bCs/>
          <w:sz w:val="32"/>
          <w:szCs w:val="32"/>
        </w:rPr>
      </w:pPr>
      <w:r>
        <w:rPr>
          <w:rFonts w:hint="eastAsia"/>
          <w:b/>
          <w:bCs/>
          <w:sz w:val="32"/>
          <w:szCs w:val="32"/>
        </w:rPr>
        <w:t>路透社：亚洲空调制造商受益于欧洲破纪录热浪</w:t>
      </w:r>
    </w:p>
    <w:p w14:paraId="402A9D9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5</w:t>
      </w:r>
    </w:p>
    <w:p w14:paraId="6FABCDA6">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正当欧洲饱受破纪录高温煎熬之际，韩国三星电子、中国美的集团及日本三菱电机等亚洲空调制造商正迎来销售热潮。</w:t>
      </w:r>
      <w:r>
        <w:rPr>
          <w:rFonts w:ascii="仿宋_GB2312" w:hAnsi="仿宋_GB2312" w:eastAsia="仿宋_GB2312" w:cs="仿宋_GB2312"/>
          <w:b w:val="0"/>
          <w:sz w:val="32"/>
          <w:lang w:val="zh-CN" w:eastAsia="zh-CN"/>
        </w:rPr>
        <w:t>尽管空调在亚洲各大城市的建筑、交通工具及家庭中已十分普及，但在欧洲却并不常见；面对酷热天气引发的健康威胁、电力中断和学校停课等状况，随着部分国家发出热浪可能加剧的警告，当地民众和企业纷纷抢购移动式及固定式空调以应对炎热天气。</w:t>
      </w:r>
    </w:p>
    <w:p w14:paraId="210F576D">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三星电子在声明中表示，</w:t>
      </w:r>
      <w:r>
        <w:rPr>
          <w:rFonts w:ascii="仿宋_GB2312" w:hAnsi="仿宋_GB2312" w:eastAsia="仿宋_GB2312" w:cs="仿宋_GB2312"/>
          <w:b/>
          <w:bCs/>
          <w:sz w:val="32"/>
          <w:lang w:val="zh-CN" w:eastAsia="zh-CN"/>
        </w:rPr>
        <w:t>预计气温将从6月起进一步升高，</w:t>
      </w:r>
      <w:r>
        <w:rPr>
          <w:rFonts w:hint="eastAsia" w:cs="仿宋_GB2312"/>
          <w:b/>
          <w:bCs/>
          <w:sz w:val="32"/>
          <w:lang w:val="zh-CN" w:eastAsia="zh-CN"/>
        </w:rPr>
        <w:t>“</w:t>
      </w:r>
      <w:r>
        <w:rPr>
          <w:rFonts w:ascii="仿宋_GB2312" w:hAnsi="仿宋_GB2312" w:eastAsia="仿宋_GB2312" w:cs="仿宋_GB2312"/>
          <w:b/>
          <w:bCs/>
          <w:sz w:val="32"/>
          <w:lang w:val="zh-CN" w:eastAsia="zh-CN"/>
        </w:rPr>
        <w:t>整个夏季制冷高峰期市场需求将保持强劲</w:t>
      </w:r>
      <w:r>
        <w:rPr>
          <w:rFonts w:hint="eastAsia" w:cs="仿宋_GB2312"/>
          <w:b/>
          <w:bCs/>
          <w:sz w:val="32"/>
          <w:lang w:val="zh-CN" w:eastAsia="zh-CN"/>
        </w:rPr>
        <w:t>”</w:t>
      </w:r>
      <w:r>
        <w:rPr>
          <w:rFonts w:ascii="仿宋_GB2312" w:hAnsi="仿宋_GB2312" w:eastAsia="仿宋_GB2312" w:cs="仿宋_GB2312"/>
          <w:b/>
          <w:bCs/>
          <w:sz w:val="32"/>
          <w:lang w:val="zh-CN" w:eastAsia="zh-CN"/>
        </w:rPr>
        <w:t>。</w:t>
      </w:r>
      <w:r>
        <w:rPr>
          <w:rFonts w:ascii="仿宋_GB2312" w:hAnsi="仿宋_GB2312" w:eastAsia="仿宋_GB2312" w:cs="仿宋_GB2312"/>
          <w:b w:val="0"/>
          <w:sz w:val="32"/>
          <w:lang w:val="zh-CN" w:eastAsia="zh-CN"/>
        </w:rPr>
        <w:t>该公司补充称，意大利、西班牙和法国等主要市场在上半年实现了两位数销售增长。LG电子也表示，为应对</w:t>
      </w:r>
      <w:r>
        <w:rPr>
          <w:rFonts w:hint="eastAsia" w:cs="仿宋_GB2312"/>
          <w:b w:val="0"/>
          <w:sz w:val="32"/>
          <w:lang w:val="zh-CN" w:eastAsia="zh-CN"/>
        </w:rPr>
        <w:t>“</w:t>
      </w:r>
      <w:r>
        <w:rPr>
          <w:rFonts w:ascii="仿宋_GB2312" w:hAnsi="仿宋_GB2312" w:eastAsia="仿宋_GB2312" w:cs="仿宋_GB2312"/>
          <w:b w:val="0"/>
          <w:sz w:val="32"/>
          <w:lang w:val="zh-CN" w:eastAsia="zh-CN"/>
        </w:rPr>
        <w:t>韩国本土及全球市场的夏季季节性需求</w:t>
      </w:r>
      <w:r>
        <w:rPr>
          <w:rFonts w:hint="eastAsia" w:cs="仿宋_GB2312"/>
          <w:b w:val="0"/>
          <w:sz w:val="32"/>
          <w:lang w:val="zh-CN" w:eastAsia="zh-CN"/>
        </w:rPr>
        <w:t>”</w:t>
      </w:r>
      <w:r>
        <w:rPr>
          <w:rFonts w:ascii="仿宋_GB2312" w:hAnsi="仿宋_GB2312" w:eastAsia="仿宋_GB2312" w:cs="仿宋_GB2312"/>
          <w:b w:val="0"/>
          <w:sz w:val="32"/>
          <w:lang w:val="zh-CN" w:eastAsia="zh-CN"/>
        </w:rPr>
        <w:t>，其位于韩国的一家工厂的空调生产线自4月以来一直满负荷运转。</w:t>
      </w:r>
    </w:p>
    <w:p w14:paraId="73BE106C">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中国美的集团同样面临需求激增的局面。其PortaSplit分体式空调需求激增，订单火爆，据称二手转售价甚至超过了新机价格，在一些渠道甚至售罄。美的表示，</w:t>
      </w:r>
      <w:r>
        <w:rPr>
          <w:rFonts w:hint="eastAsia" w:cs="仿宋_GB2312"/>
          <w:b w:val="0"/>
          <w:sz w:val="32"/>
          <w:lang w:val="zh-CN" w:eastAsia="zh-CN"/>
        </w:rPr>
        <w:t>“</w:t>
      </w:r>
      <w:r>
        <w:rPr>
          <w:rFonts w:ascii="仿宋_GB2312" w:hAnsi="仿宋_GB2312" w:eastAsia="仿宋_GB2312" w:cs="仿宋_GB2312"/>
          <w:b w:val="0"/>
          <w:sz w:val="32"/>
          <w:lang w:val="zh-CN" w:eastAsia="zh-CN"/>
        </w:rPr>
        <w:t>5月最后两周的热浪极大地促进了销售，尤其是PortaSplit分体式空调，在一些渠道甚至售罄。</w:t>
      </w:r>
      <w:r>
        <w:rPr>
          <w:rFonts w:hint="eastAsia" w:cs="仿宋_GB2312"/>
          <w:b w:val="0"/>
          <w:sz w:val="32"/>
          <w:lang w:val="zh-CN" w:eastAsia="zh-CN"/>
        </w:rPr>
        <w:t>”</w:t>
      </w:r>
      <w:r>
        <w:rPr>
          <w:rFonts w:ascii="仿宋_GB2312" w:hAnsi="仿宋_GB2312" w:eastAsia="仿宋_GB2312" w:cs="仿宋_GB2312"/>
          <w:b w:val="0"/>
          <w:sz w:val="32"/>
          <w:lang w:val="zh-CN" w:eastAsia="zh-CN"/>
        </w:rPr>
        <w:t>数据显示，</w:t>
      </w:r>
      <w:r>
        <w:rPr>
          <w:rFonts w:ascii="仿宋_GB2312" w:hAnsi="仿宋_GB2312" w:eastAsia="仿宋_GB2312" w:cs="仿宋_GB2312"/>
          <w:b/>
          <w:bCs/>
          <w:sz w:val="32"/>
          <w:lang w:val="zh-CN" w:eastAsia="zh-CN"/>
        </w:rPr>
        <w:t>5月德国电商渠道美的空调销售额较上年同期增长约37%，西班牙和法国出货量同比增长108%。</w:t>
      </w:r>
      <w:r>
        <w:rPr>
          <w:rFonts w:ascii="仿宋_GB2312" w:hAnsi="仿宋_GB2312" w:eastAsia="仿宋_GB2312" w:cs="仿宋_GB2312"/>
          <w:b w:val="0"/>
          <w:sz w:val="32"/>
          <w:lang w:val="zh-CN" w:eastAsia="zh-CN"/>
        </w:rPr>
        <w:t>日本三菱电机也表示，来自欧洲的空调需求激增，在法国、西班牙、英国和德国销量表现强劲，</w:t>
      </w:r>
      <w:r>
        <w:rPr>
          <w:rFonts w:hint="eastAsia" w:cs="仿宋_GB2312"/>
          <w:b w:val="0"/>
          <w:sz w:val="32"/>
          <w:lang w:val="zh-CN" w:eastAsia="zh-CN"/>
        </w:rPr>
        <w:t>“</w:t>
      </w:r>
      <w:r>
        <w:rPr>
          <w:rFonts w:ascii="仿宋_GB2312" w:hAnsi="仿宋_GB2312" w:eastAsia="仿宋_GB2312" w:cs="仿宋_GB2312"/>
          <w:b w:val="0"/>
          <w:sz w:val="32"/>
          <w:lang w:val="zh-CN" w:eastAsia="zh-CN"/>
        </w:rPr>
        <w:t>在欧洲，空调销量表现强劲，尤其是在遭受热浪袭击的法国、西班牙、英国和德国</w:t>
      </w:r>
      <w:r>
        <w:rPr>
          <w:rFonts w:hint="eastAsia" w:cs="仿宋_GB2312"/>
          <w:b w:val="0"/>
          <w:sz w:val="32"/>
          <w:lang w:val="zh-CN" w:eastAsia="zh-CN"/>
        </w:rPr>
        <w:t>”</w:t>
      </w:r>
      <w:r>
        <w:rPr>
          <w:rFonts w:ascii="仿宋_GB2312" w:hAnsi="仿宋_GB2312" w:eastAsia="仿宋_GB2312" w:cs="仿宋_GB2312"/>
          <w:b w:val="0"/>
          <w:sz w:val="32"/>
          <w:lang w:val="zh-CN" w:eastAsia="zh-CN"/>
        </w:rPr>
        <w:t>。</w:t>
      </w:r>
    </w:p>
    <w:p w14:paraId="15224F59">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bCs/>
          <w:sz w:val="32"/>
          <w:lang w:val="zh-CN" w:eastAsia="zh-CN"/>
        </w:rPr>
        <w:t>世界气象组织表示，欧洲升温速度已超全球平均水平两倍多。</w:t>
      </w:r>
      <w:r>
        <w:rPr>
          <w:rFonts w:ascii="仿宋_GB2312" w:hAnsi="仿宋_GB2312" w:eastAsia="仿宋_GB2312" w:cs="仿宋_GB2312"/>
          <w:b w:val="0"/>
          <w:sz w:val="32"/>
          <w:lang w:val="zh-CN" w:eastAsia="zh-CN"/>
        </w:rPr>
        <w:t>政府间气候变化专门委员会主席斯基亚警告，欧洲未来</w:t>
      </w:r>
      <w:r>
        <w:rPr>
          <w:rFonts w:hint="eastAsia" w:cs="仿宋_GB2312"/>
          <w:b w:val="0"/>
          <w:sz w:val="32"/>
          <w:lang w:val="zh-CN" w:eastAsia="zh-CN"/>
        </w:rPr>
        <w:t>“</w:t>
      </w:r>
      <w:r>
        <w:rPr>
          <w:rFonts w:ascii="仿宋_GB2312" w:hAnsi="仿宋_GB2312" w:eastAsia="仿宋_GB2312" w:cs="仿宋_GB2312"/>
          <w:b w:val="0"/>
          <w:sz w:val="32"/>
          <w:lang w:val="zh-CN" w:eastAsia="zh-CN"/>
        </w:rPr>
        <w:t>不可避免地</w:t>
      </w:r>
      <w:r>
        <w:rPr>
          <w:rFonts w:hint="eastAsia" w:cs="仿宋_GB2312"/>
          <w:b w:val="0"/>
          <w:sz w:val="32"/>
          <w:lang w:val="zh-CN" w:eastAsia="zh-CN"/>
        </w:rPr>
        <w:t>”</w:t>
      </w:r>
      <w:r>
        <w:rPr>
          <w:rFonts w:ascii="仿宋_GB2312" w:hAnsi="仿宋_GB2312" w:eastAsia="仿宋_GB2312" w:cs="仿宋_GB2312"/>
          <w:b w:val="0"/>
          <w:sz w:val="32"/>
          <w:lang w:val="zh-CN" w:eastAsia="zh-CN"/>
        </w:rPr>
        <w:t>还将遭遇更多极端高温事件。各国应对深刻的气候变化，对制冷设备的巨大需求凸显了欧洲消费者行为的转变。然而欧洲老旧建筑使空调安装昂贵且复杂，通常需要长时间等待安装。美的称在欧洲安装一台空调的费用可能超过1000欧元（约合1137美元），对许多家庭来说难以承受。国际能源署数据显示，欧洲空调设备总拥有率仅约20%。随着气温持续飙升，拥有知名空调品牌的中国、日本和韩国等亚洲国家无疑将从中受益。值得注意的是，酷暑对老年人和慢性病患者的影响尤为严峻，各公司也采取了措施保护员工。分析认为，欧洲对制冷设备的长期需求增长趋势已经确立，亚洲制造商在该市场的份额有望继续扩大。</w:t>
      </w:r>
    </w:p>
    <w:p w14:paraId="590E712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仿宋_GB2312"/>
          <w:sz w:val="32"/>
          <w:szCs w:val="32"/>
        </w:rPr>
      </w:pPr>
    </w:p>
    <w:p w14:paraId="753F6552">
      <w:pPr>
        <w:keepNext w:val="0"/>
        <w:keepLines w:val="0"/>
        <w:pageBreakBefore w:val="0"/>
        <w:widowControl w:val="0"/>
        <w:kinsoku/>
        <w:wordWrap/>
        <w:overflowPunct/>
        <w:topLinePunct w:val="0"/>
        <w:autoSpaceDE/>
        <w:autoSpaceDN/>
        <w:bidi w:val="0"/>
        <w:adjustRightInd/>
        <w:snapToGrid/>
        <w:spacing w:line="560" w:lineRule="exact"/>
        <w:textAlignment w:val="auto"/>
        <w:rPr>
          <w:b/>
          <w:bCs/>
          <w:sz w:val="32"/>
          <w:szCs w:val="32"/>
        </w:rPr>
      </w:pPr>
      <w:bookmarkStart w:id="4" w:name="OLE_LINK36"/>
      <w:r>
        <w:rPr>
          <w:rFonts w:hint="eastAsia"/>
          <w:b/>
          <w:bCs/>
          <w:sz w:val="32"/>
          <w:szCs w:val="32"/>
        </w:rPr>
        <w:t>BBC、香港电台：委内瑞拉7.5级强震致数百人遇难</w:t>
      </w:r>
    </w:p>
    <w:p w14:paraId="1C1EEA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6</w:t>
      </w:r>
    </w:p>
    <w:p w14:paraId="04687903">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委内瑞拉首都附近当地时间6月25日晚间先后发生7.2级和7.5级两次强烈地震，已造成至少235人死亡、超过1500人受伤。据美国地质调查局称，两次地震震源都很浅——第一次震中位于地表以下约20公里处，第二次约10公里处，导致破坏更加严重。</w:t>
      </w:r>
    </w:p>
    <w:p w14:paraId="362EDDB4">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地震发生在当地时间傍晚18时04分——正值委内瑞拉国庆节，这意味着比平常工作日有更多的人待在家里。据信还有更多人丧生，许多人则流离失所，或者因为害怕不敢住在受损的建筑物中而露宿街头。美国地质调查局记录显示，第二次7.5级地震是1900年以来袭击委内瑞拉的最强地震。BBC Mundo的记者描述称，</w:t>
      </w:r>
      <w:r>
        <w:rPr>
          <w:rFonts w:hint="eastAsia" w:cs="仿宋_GB2312"/>
          <w:b w:val="0"/>
          <w:sz w:val="32"/>
          <w:lang w:val="zh-CN" w:eastAsia="zh-CN"/>
        </w:rPr>
        <w:t>“</w:t>
      </w:r>
      <w:r>
        <w:rPr>
          <w:rFonts w:ascii="仿宋_GB2312" w:hAnsi="仿宋_GB2312" w:eastAsia="仿宋_GB2312" w:cs="仿宋_GB2312"/>
          <w:b w:val="0"/>
          <w:sz w:val="32"/>
          <w:lang w:val="zh-CN" w:eastAsia="zh-CN"/>
        </w:rPr>
        <w:t>地震力非常大，我以为整栋楼都要倒塌在我身上了</w:t>
      </w:r>
      <w:r>
        <w:rPr>
          <w:rFonts w:hint="eastAsia" w:cs="仿宋_GB2312"/>
          <w:b w:val="0"/>
          <w:sz w:val="32"/>
          <w:lang w:val="zh-CN" w:eastAsia="zh-CN"/>
        </w:rPr>
        <w:t>”</w:t>
      </w:r>
      <w:r>
        <w:rPr>
          <w:rFonts w:ascii="仿宋_GB2312" w:hAnsi="仿宋_GB2312" w:eastAsia="仿宋_GB2312" w:cs="仿宋_GB2312"/>
          <w:b w:val="0"/>
          <w:sz w:val="32"/>
          <w:lang w:val="zh-CN" w:eastAsia="zh-CN"/>
        </w:rPr>
        <w:t>。据报道，远在数百公里之外的哥伦比亚首都波哥大都感受到了震动。委内瑞拉位于两大构造板块交界处，地震很可能是由于两板块之间摩擦力的突然释放造成的。</w:t>
      </w:r>
    </w:p>
    <w:p w14:paraId="61EDD3D1">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中国驻委内瑞拉大使馆已确认两名中国公民在本次地震中遇难。</w:t>
      </w:r>
    </w:p>
    <w:p w14:paraId="45BE228B">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在加拉加斯和附近沿海城市拉瓜伊拉，人们可以听到倒塌建筑物废墟下有人呼救。查考市市长在一栋被毁建筑物外表示，那里有11人死亡，23人获救，团队正在努力清理废墟以接触</w:t>
      </w:r>
      <w:r>
        <w:rPr>
          <w:rFonts w:hint="eastAsia" w:cs="仿宋_GB2312"/>
          <w:b w:val="0"/>
          <w:sz w:val="32"/>
          <w:lang w:val="zh-CN" w:eastAsia="zh-CN"/>
        </w:rPr>
        <w:t>“</w:t>
      </w:r>
      <w:r>
        <w:rPr>
          <w:rFonts w:ascii="仿宋_GB2312" w:hAnsi="仿宋_GB2312" w:eastAsia="仿宋_GB2312" w:cs="仿宋_GB2312"/>
          <w:b w:val="0"/>
          <w:sz w:val="32"/>
          <w:lang w:val="zh-CN" w:eastAsia="zh-CN"/>
        </w:rPr>
        <w:t>那些可能还活着的人</w:t>
      </w:r>
      <w:r>
        <w:rPr>
          <w:rFonts w:hint="eastAsia" w:cs="仿宋_GB2312"/>
          <w:b w:val="0"/>
          <w:sz w:val="32"/>
          <w:lang w:val="zh-CN" w:eastAsia="zh-CN"/>
        </w:rPr>
        <w:t>”</w:t>
      </w:r>
      <w:r>
        <w:rPr>
          <w:rFonts w:ascii="仿宋_GB2312" w:hAnsi="仿宋_GB2312" w:eastAsia="仿宋_GB2312" w:cs="仿宋_GB2312"/>
          <w:b w:val="0"/>
          <w:sz w:val="32"/>
          <w:lang w:val="zh-CN" w:eastAsia="zh-CN"/>
        </w:rPr>
        <w:t>。委内瑞拉国民议会议长豪尔赫·罗德里格斯表示，已有250栋建筑物受损或被毁，其中大部分位于拉瓜伊拉，近3000个家庭无家可归。位于加拉加斯郊区的迈克蒂亚主要国际机场因严重受损而关闭。委内瑞拉临时总统德尔西·罗德里格斯宣布进入紧急状态，拉瓜伊拉州已沦为灾区。由于停电和网络故障，评估损失的真实规模十分困难。BBC驻加拉加斯的记者表示，</w:t>
      </w:r>
      <w:r>
        <w:rPr>
          <w:rFonts w:hint="eastAsia" w:cs="仿宋_GB2312"/>
          <w:b w:val="0"/>
          <w:sz w:val="32"/>
          <w:lang w:val="zh-CN" w:eastAsia="zh-CN"/>
        </w:rPr>
        <w:t>“</w:t>
      </w:r>
      <w:r>
        <w:rPr>
          <w:rFonts w:ascii="仿宋_GB2312" w:hAnsi="仿宋_GB2312" w:eastAsia="仿宋_GB2312" w:cs="仿宋_GB2312"/>
          <w:b w:val="0"/>
          <w:sz w:val="32"/>
          <w:lang w:val="zh-CN" w:eastAsia="zh-CN"/>
        </w:rPr>
        <w:t>由于国内经济危机，我们很难进行评估</w:t>
      </w:r>
      <w:r>
        <w:rPr>
          <w:rFonts w:hint="eastAsia" w:cs="仿宋_GB2312"/>
          <w:b w:val="0"/>
          <w:sz w:val="32"/>
          <w:lang w:val="zh-CN" w:eastAsia="zh-CN"/>
        </w:rPr>
        <w:t>”</w:t>
      </w:r>
      <w:r>
        <w:rPr>
          <w:rFonts w:ascii="仿宋_GB2312" w:hAnsi="仿宋_GB2312" w:eastAsia="仿宋_GB2312" w:cs="仿宋_GB2312"/>
          <w:b w:val="0"/>
          <w:sz w:val="32"/>
          <w:lang w:val="zh-CN" w:eastAsia="zh-CN"/>
        </w:rPr>
        <w:t>。委内瑞拉反对派领导人马查多表示，</w:t>
      </w:r>
      <w:r>
        <w:rPr>
          <w:rFonts w:hint="eastAsia" w:cs="仿宋_GB2312"/>
          <w:b w:val="0"/>
          <w:sz w:val="32"/>
          <w:lang w:val="zh-CN" w:eastAsia="zh-CN"/>
        </w:rPr>
        <w:t>“</w:t>
      </w:r>
      <w:r>
        <w:rPr>
          <w:rFonts w:ascii="仿宋_GB2312" w:hAnsi="仿宋_GB2312" w:eastAsia="仿宋_GB2312" w:cs="仿宋_GB2312"/>
          <w:b w:val="0"/>
          <w:sz w:val="32"/>
          <w:lang w:val="zh-CN" w:eastAsia="zh-CN"/>
        </w:rPr>
        <w:t>在这痛苦的时刻，我的心、我无限的拥抱和我的祈祷与每一个委内瑞拉家庭同在</w:t>
      </w:r>
      <w:r>
        <w:rPr>
          <w:rFonts w:hint="eastAsia" w:cs="仿宋_GB2312"/>
          <w:b w:val="0"/>
          <w:sz w:val="32"/>
          <w:lang w:val="zh-CN" w:eastAsia="zh-CN"/>
        </w:rPr>
        <w:t>”</w:t>
      </w:r>
      <w:r>
        <w:rPr>
          <w:rFonts w:ascii="仿宋_GB2312" w:hAnsi="仿宋_GB2312" w:eastAsia="仿宋_GB2312" w:cs="仿宋_GB2312"/>
          <w:b w:val="0"/>
          <w:sz w:val="32"/>
          <w:lang w:val="zh-CN" w:eastAsia="zh-CN"/>
        </w:rPr>
        <w:t>。</w:t>
      </w:r>
    </w:p>
    <w:p w14:paraId="0A4E30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hAnsi="仿宋_GB2312" w:eastAsia="仿宋_GB2312"/>
          <w:sz w:val="32"/>
          <w:szCs w:val="32"/>
        </w:rPr>
      </w:pPr>
      <w:r>
        <w:rPr>
          <w:rFonts w:ascii="仿宋_GB2312" w:hAnsi="仿宋_GB2312" w:eastAsia="仿宋_GB2312" w:cs="仿宋_GB2312"/>
          <w:b w:val="0"/>
          <w:sz w:val="32"/>
          <w:lang w:val="zh-CN" w:eastAsia="zh-CN"/>
        </w:rPr>
        <w:t>多个国家已承诺协助救援工作。美国总统特朗普在社交媒体上表示，</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刚刚袭击委内瑞拉伟大人民的两场大地震规模都非常巨大，造成了毁灭性的人员伤亡</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，美国</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随时准备、愿意并且能够提供帮助</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。美方承诺提供1.5亿美元援助并立即部署搜救队和医疗资源。美国国务卿卢比奥表示</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已启动全政府应对措施，规模庞大、行动迅速、卓有成效</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。瑞士、西班牙、法国、葡萄牙、墨西哥、中国、印度、巴西等国也已提供援助，教皇利奥十四世提供了首批10万欧元援助。联合国秘书长古特雷斯对灾难表示</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深感悲痛</w:t>
      </w:r>
      <w:r>
        <w:rPr>
          <w:rFonts w:hint="eastAsia" w:ascii="仿宋_GB2312" w:hAnsi="仿宋_GB2312" w:eastAsia="仿宋_GB2312" w:cs="仿宋_GB2312"/>
          <w:b w:val="0"/>
          <w:sz w:val="32"/>
          <w:lang w:val="zh-CN" w:eastAsia="zh-CN"/>
        </w:rPr>
        <w:t>”</w:t>
      </w:r>
      <w:r>
        <w:rPr>
          <w:rFonts w:ascii="仿宋_GB2312" w:hAnsi="仿宋_GB2312" w:eastAsia="仿宋_GB2312" w:cs="仿宋_GB2312"/>
          <w:b w:val="0"/>
          <w:sz w:val="32"/>
          <w:lang w:val="zh-CN" w:eastAsia="zh-CN"/>
        </w:rPr>
        <w:t>。联合国负责人道主义事务的副秘书长弗莱彻称这是126年来袭击委内瑞拉的最强地震，需要大规模的集体努力。美国地质调查局根据以往类似地震和附近人口规模等因素估计，此次地震造成超过1万人死亡的概率为42%。这场灾难也是对今年1月美军逮捕委内瑞拉总统马杜罗后美委关系重塑的首次重大考验。</w:t>
      </w:r>
    </w:p>
    <w:p w14:paraId="16E4D31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仿宋_GB2312"/>
          <w:sz w:val="32"/>
          <w:szCs w:val="32"/>
        </w:rPr>
      </w:pPr>
    </w:p>
    <w:bookmarkEnd w:id="3"/>
    <w:bookmarkEnd w:id="4"/>
    <w:p w14:paraId="7C3086C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b/>
          <w:bCs/>
          <w:sz w:val="32"/>
          <w:szCs w:val="32"/>
        </w:rPr>
      </w:pPr>
      <w:r>
        <w:rPr>
          <w:rFonts w:hint="eastAsia"/>
          <w:b/>
          <w:bCs/>
          <w:sz w:val="32"/>
          <w:szCs w:val="32"/>
        </w:rPr>
        <w:t>路透社：巴西计划发行最大规模熊猫债券</w:t>
      </w:r>
    </w:p>
    <w:p w14:paraId="20F5E1D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sz w:val="32"/>
          <w:szCs w:val="32"/>
          <w:lang w:val="en-US" w:eastAsia="zh-CN"/>
        </w:rPr>
      </w:pPr>
      <w:r>
        <w:rPr>
          <w:rFonts w:hint="eastAsia" w:ascii="Times New Roman" w:hAnsi="Times New Roman" w:eastAsia="仿宋_GB2312"/>
          <w:sz w:val="32"/>
          <w:szCs w:val="32"/>
        </w:rPr>
        <w:t>2026-06-2</w:t>
      </w:r>
      <w:r>
        <w:rPr>
          <w:rFonts w:hint="eastAsia" w:ascii="Times New Roman" w:hAnsi="Times New Roman" w:eastAsia="仿宋_GB2312"/>
          <w:sz w:val="32"/>
          <w:szCs w:val="32"/>
          <w:lang w:val="en-US" w:eastAsia="zh-CN"/>
        </w:rPr>
        <w:t>5</w:t>
      </w:r>
    </w:p>
    <w:p w14:paraId="47D2121C">
      <w:pPr>
        <w:pStyle w:val="21"/>
        <w:keepNext w:val="0"/>
        <w:keepLines w:val="0"/>
        <w:pageBreakBefore w:val="0"/>
        <w:widowControl w:val="0"/>
        <w:kinsoku/>
        <w:wordWrap/>
        <w:overflowPunct/>
        <w:topLinePunct w:val="0"/>
        <w:autoSpaceDE/>
        <w:autoSpaceDN/>
        <w:bidi w:val="0"/>
        <w:adjustRightInd/>
        <w:snapToGrid/>
        <w:textAlignment w:val="auto"/>
        <w:rPr>
          <w:rFonts w:ascii="仿宋_GB2312" w:hAnsi="仿宋_GB2312" w:eastAsia="仿宋_GB2312" w:cs="仿宋_GB2312"/>
          <w:b/>
          <w:bCs/>
          <w:sz w:val="32"/>
          <w:lang w:val="zh-CN" w:eastAsia="zh-CN"/>
        </w:rPr>
      </w:pPr>
      <w:r>
        <w:rPr>
          <w:rFonts w:ascii="仿宋_GB2312" w:hAnsi="仿宋_GB2312" w:eastAsia="仿宋_GB2312" w:cs="仿宋_GB2312"/>
          <w:b/>
          <w:bCs/>
          <w:sz w:val="32"/>
          <w:lang w:val="zh-CN" w:eastAsia="zh-CN"/>
        </w:rPr>
        <w:t>巴西财政部长杜里甘周四告诉路透社，巴西计划首次发行熊猫债券，筹集至多50亿元人民币（约合7.35亿美元），这将是外国在中国发行的最大规模人民币债券。</w:t>
      </w:r>
    </w:p>
    <w:p w14:paraId="59006827">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杜里甘表示，这个拉丁美洲国家将成为12个月内第五个进入中国境内债务市场的主权发行国，此举被视为帮助巴西私营企业加深其在世界第二大经济体中地位的试探。杜里甘在北京与中国央行行长潘功胜会晤后接受采访时称，</w:t>
      </w:r>
      <w:r>
        <w:rPr>
          <w:rFonts w:hint="eastAsia" w:cs="仿宋_GB2312"/>
          <w:b w:val="0"/>
          <w:sz w:val="32"/>
          <w:lang w:val="zh-CN" w:eastAsia="zh-CN"/>
        </w:rPr>
        <w:t>“</w:t>
      </w:r>
      <w:r>
        <w:rPr>
          <w:rFonts w:ascii="仿宋_GB2312" w:hAnsi="仿宋_GB2312" w:eastAsia="仿宋_GB2312" w:cs="仿宋_GB2312"/>
          <w:b w:val="0"/>
          <w:sz w:val="32"/>
          <w:lang w:val="zh-CN" w:eastAsia="zh-CN"/>
        </w:rPr>
        <w:t>我们需要测试并开始在中国发行巴西主权债务的模式</w:t>
      </w:r>
      <w:r>
        <w:rPr>
          <w:rFonts w:hint="eastAsia" w:cs="仿宋_GB2312"/>
          <w:b w:val="0"/>
          <w:sz w:val="32"/>
          <w:lang w:val="zh-CN" w:eastAsia="zh-CN"/>
        </w:rPr>
        <w:t>”</w:t>
      </w:r>
      <w:r>
        <w:rPr>
          <w:rFonts w:ascii="仿宋_GB2312" w:hAnsi="仿宋_GB2312" w:eastAsia="仿宋_GB2312" w:cs="仿宋_GB2312"/>
          <w:b w:val="0"/>
          <w:sz w:val="32"/>
          <w:lang w:val="zh-CN" w:eastAsia="zh-CN"/>
        </w:rPr>
        <w:t>，希望债券能在未来两到三个月内发行。"我们在欧洲筹集了50亿欧元。我们还没有确定在中国首次发行的金额，但最高将达到50亿元人民币。"杜里甘还表示，巴西企业曾要求政府开始发行人民币计价债券，以帮助他们通过熊猫债券私募交易筹集资金，并缓解巴西雷亚尔的汇率波动风险。他已与矿业公司淡水河谷及电气设备制造商WEG讨论了该计划。</w:t>
      </w:r>
    </w:p>
    <w:p w14:paraId="6A15602A">
      <w:pPr>
        <w:pStyle w:val="21"/>
        <w:keepNext w:val="0"/>
        <w:keepLines w:val="0"/>
        <w:pageBreakBefore w:val="0"/>
        <w:widowControl w:val="0"/>
        <w:kinsoku/>
        <w:wordWrap/>
        <w:overflowPunct/>
        <w:topLinePunct w:val="0"/>
        <w:autoSpaceDE/>
        <w:autoSpaceDN/>
        <w:bidi w:val="0"/>
        <w:adjustRightInd/>
        <w:snapToGrid/>
        <w:textAlignment w:val="auto"/>
      </w:pPr>
      <w:r>
        <w:rPr>
          <w:rFonts w:ascii="仿宋_GB2312" w:hAnsi="仿宋_GB2312" w:eastAsia="仿宋_GB2312" w:cs="仿宋_GB2312"/>
          <w:b w:val="0"/>
          <w:sz w:val="32"/>
          <w:lang w:val="zh-CN" w:eastAsia="zh-CN"/>
        </w:rPr>
        <w:t>尽管熊猫债券仍处于起步阶段，但它是北京为实现人民币国际化所做的努力的关键部分。从外交角度来看，这也表明新兴市场对美元主导的全球金融体系之外的其他选择持开放态度。过去一年来，巴基斯坦、哈萨克斯坦、斯洛文尼亚和匈牙利都转向了中国境内债务市场——人民币相对较低的借贷成本使其成为美元和欧元融资的有吸引力的替代方案。</w:t>
      </w:r>
      <w:r>
        <w:rPr>
          <w:rFonts w:ascii="仿宋_GB2312" w:hAnsi="仿宋_GB2312" w:eastAsia="仿宋_GB2312" w:cs="仿宋_GB2312"/>
          <w:b/>
          <w:bCs/>
          <w:sz w:val="32"/>
          <w:lang w:val="zh-CN" w:eastAsia="zh-CN"/>
        </w:rPr>
        <w:t>今年早些时候，斯洛文尼亚首次发行便筹集了40亿元人民币，创下当时最高纪录。</w:t>
      </w:r>
    </w:p>
    <w:p w14:paraId="0A8DEC06">
      <w:pPr>
        <w:pStyle w:val="21"/>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sz w:val="32"/>
          <w:szCs w:val="32"/>
        </w:rPr>
      </w:pPr>
      <w:r>
        <w:rPr>
          <w:rFonts w:ascii="仿宋_GB2312" w:hAnsi="仿宋_GB2312" w:eastAsia="仿宋_GB2312" w:cs="仿宋_GB2312"/>
          <w:b w:val="0"/>
          <w:sz w:val="32"/>
          <w:lang w:val="zh-CN" w:eastAsia="zh-CN"/>
        </w:rPr>
        <w:t>报道同时表示，尽管人民币在全球金融体系中地位日益重要，但北京尚未超越新兴市场交易的范畴向美元发起挑战。世界第二大经济体依靠出口赚取美元，而严格的管制意味着人民币流动性不足，是一个需要计入价格的额外风险。当被问及金砖国家可能创建共同货币以挑战美元的前景时，杜里甘表示</w:t>
      </w:r>
      <w:r>
        <w:rPr>
          <w:rFonts w:hint="eastAsia" w:cs="仿宋_GB2312"/>
          <w:b w:val="0"/>
          <w:sz w:val="32"/>
          <w:lang w:val="zh-CN" w:eastAsia="zh-CN"/>
        </w:rPr>
        <w:t>“</w:t>
      </w:r>
      <w:r>
        <w:rPr>
          <w:rFonts w:ascii="仿宋_GB2312" w:hAnsi="仿宋_GB2312" w:eastAsia="仿宋_GB2312" w:cs="仿宋_GB2312"/>
          <w:b w:val="0"/>
          <w:sz w:val="32"/>
          <w:lang w:val="zh-CN" w:eastAsia="zh-CN"/>
        </w:rPr>
        <w:t>没有任何进展</w:t>
      </w:r>
      <w:r>
        <w:rPr>
          <w:rFonts w:hint="eastAsia" w:cs="仿宋_GB2312"/>
          <w:b w:val="0"/>
          <w:sz w:val="32"/>
          <w:lang w:val="zh-CN" w:eastAsia="zh-CN"/>
        </w:rPr>
        <w:t>”</w:t>
      </w:r>
      <w:r>
        <w:rPr>
          <w:rFonts w:ascii="仿宋_GB2312" w:hAnsi="仿宋_GB2312" w:eastAsia="仿宋_GB2312" w:cs="仿宋_GB2312"/>
          <w:b w:val="0"/>
          <w:sz w:val="32"/>
          <w:lang w:val="zh-CN" w:eastAsia="zh-CN"/>
        </w:rPr>
        <w:t>，同时称</w:t>
      </w:r>
      <w:r>
        <w:rPr>
          <w:rFonts w:hint="eastAsia" w:cs="仿宋_GB2312"/>
          <w:b w:val="0"/>
          <w:sz w:val="32"/>
          <w:lang w:val="zh-CN" w:eastAsia="zh-CN"/>
        </w:rPr>
        <w:t>“</w:t>
      </w:r>
      <w:r>
        <w:rPr>
          <w:rFonts w:ascii="仿宋_GB2312" w:hAnsi="仿宋_GB2312" w:eastAsia="仿宋_GB2312" w:cs="仿宋_GB2312"/>
          <w:b w:val="0"/>
          <w:sz w:val="32"/>
          <w:lang w:val="zh-CN" w:eastAsia="zh-CN"/>
        </w:rPr>
        <w:t>巴西对地缘政治的愿景是多边主义，因此其他国家发展本国货币、扩大其在全球的影响力是公平的</w:t>
      </w:r>
      <w:r>
        <w:rPr>
          <w:rFonts w:hint="eastAsia" w:cs="仿宋_GB2312"/>
          <w:b w:val="0"/>
          <w:sz w:val="32"/>
          <w:lang w:val="zh-CN" w:eastAsia="zh-CN"/>
        </w:rPr>
        <w:t>”</w:t>
      </w:r>
      <w:r>
        <w:rPr>
          <w:rFonts w:ascii="仿宋_GB2312" w:hAnsi="仿宋_GB2312" w:eastAsia="仿宋_GB2312" w:cs="仿宋_GB2312"/>
          <w:b w:val="0"/>
          <w:sz w:val="32"/>
          <w:lang w:val="zh-CN" w:eastAsia="zh-CN"/>
        </w:rPr>
        <w:t>。巴西是金砖国家创始成员国之一，该集团此后已扩大至包括南非、埃及、埃塞俄比亚、伊朗、阿联酋和印度尼西亚等国。</w:t>
      </w:r>
    </w:p>
    <w:sectPr>
      <w:footerReference r:id="rId6" w:type="default"/>
      <w:pgSz w:w="11906" w:h="16838"/>
      <w:pgMar w:top="1797" w:right="1440" w:bottom="1797" w:left="144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832DB98-4232-4676-B1B7-AA0286CB009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altName w:val="微软雅黑"/>
    <w:panose1 w:val="020B0604020202020204"/>
    <w:charset w:val="86"/>
    <w:family w:val="auto"/>
    <w:pitch w:val="default"/>
    <w:sig w:usb0="00000000" w:usb1="00000000" w:usb2="00000012" w:usb3="00000000" w:csb0="00040001" w:csb1="00000000"/>
    <w:embedRegular r:id="rId2" w:fontKey="{CFBC32AC-B64A-4FB8-8AAB-DAF3DC95DABF}"/>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embedRegular r:id="rId3" w:fontKey="{8E0F6125-AD59-4092-8CA5-0C05D8689D7A}"/>
  </w:font>
  <w:font w:name="楷体_GB2312">
    <w:panose1 w:val="02010609030101010101"/>
    <w:charset w:val="86"/>
    <w:family w:val="modern"/>
    <w:pitch w:val="default"/>
    <w:sig w:usb0="00000001" w:usb1="080E0000" w:usb2="00000000" w:usb3="00000000" w:csb0="00040000" w:csb1="00000000"/>
    <w:embedRegular r:id="rId4" w:fontKey="{AC2BA3A1-C2E3-46EE-9CFE-CD271891CC3B}"/>
  </w:font>
  <w:font w:name="仿宋">
    <w:panose1 w:val="02010609060101010101"/>
    <w:charset w:val="86"/>
    <w:family w:val="modern"/>
    <w:pitch w:val="default"/>
    <w:sig w:usb0="800002BF" w:usb1="38CF7CFA" w:usb2="00000016" w:usb3="00000000" w:csb0="00040001" w:csb1="00000000"/>
    <w:embedRegular r:id="rId5" w:fontKey="{028F2CAB-000E-4F54-A489-04ACCE3602E8}"/>
  </w:font>
  <w:font w:name="仿宋_GB2312">
    <w:panose1 w:val="02010609030101010101"/>
    <w:charset w:val="86"/>
    <w:family w:val="modern"/>
    <w:pitch w:val="default"/>
    <w:sig w:usb0="00000001" w:usb1="080E0000" w:usb2="00000000" w:usb3="00000000" w:csb0="00040000" w:csb1="00000000"/>
    <w:embedRegular r:id="rId6" w:fontKey="{A62D7ABD-AC0C-4FD5-800F-0CE74292F209}"/>
  </w:font>
  <w:font w:name="KSOF80329041">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AF5AF">
    <w:pPr>
      <w:pStyle w:val="8"/>
      <w:jc w:val="both"/>
    </w:pPr>
  </w:p>
  <w:p w14:paraId="0BF02FC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4487C">
    <w:pPr>
      <w:pStyle w:val="8"/>
      <w:jc w:val="both"/>
    </w:pPr>
    <w:r>
      <w:rPr>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6416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64160" cy="1828800"/>
                      </a:xfrm>
                      <a:prstGeom prst="rect">
                        <a:avLst/>
                      </a:prstGeom>
                      <a:noFill/>
                      <a:ln w="6350">
                        <a:noFill/>
                      </a:ln>
                      <a:effectLst/>
                    </wps:spPr>
                    <wps:txbx>
                      <w:txbxContent>
                        <w:p w14:paraId="305B0EB1">
                          <w:pPr>
                            <w:pStyle w:val="8"/>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20.8pt;mso-position-horizontal:center;mso-position-horizontal-relative:margin;z-index:251660288;mso-width-relative:page;mso-height-relative:page;" filled="f" stroked="f" coordsize="21600,21600" o:gfxdata="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VmtYtQAAAAEAQAADwAAAAAAAAABACAAAAAiAAAAZHJzL2Rvd25yZXYu&#10;eG1sUEsBAhQAFAAAAAgAh07iQByz6fM4AgAAZAQAAA4AAAAAAAAAAQAgAAAAIwEAAGRycy9lMm9E&#10;b2MueG1sUEsFBgAAAAAGAAYAWQEAAM0FAAAAAA==&#10;">
              <v:fill on="f" focussize="0,0"/>
              <v:stroke on="f" weight="0.5pt"/>
              <v:imagedata o:title=""/>
              <o:lock v:ext="edit" aspectratio="f"/>
              <v:textbox inset="0mm,0mm,0mm,0mm" style="mso-fit-shape-to-text:t;">
                <w:txbxContent>
                  <w:p w14:paraId="305B0EB1">
                    <w:pPr>
                      <w:pStyle w:val="8"/>
                      <w:jc w:val="center"/>
                    </w:pPr>
                    <w:r>
                      <w:fldChar w:fldCharType="begin"/>
                    </w:r>
                    <w:r>
                      <w:instrText xml:space="preserve"> PAGE   \* MERGEFORMAT </w:instrText>
                    </w:r>
                    <w:r>
                      <w:fldChar w:fldCharType="separate"/>
                    </w:r>
                    <w:r>
                      <w:t>8</w:t>
                    </w:r>
                    <w:r>
                      <w:fldChar w:fldCharType="end"/>
                    </w:r>
                  </w:p>
                </w:txbxContent>
              </v:textbox>
            </v:shape>
          </w:pict>
        </mc:Fallback>
      </mc:AlternateContent>
    </w:r>
  </w:p>
  <w:p w14:paraId="5F6DC81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C55B2"/>
    <w:multiLevelType w:val="singleLevel"/>
    <w:tmpl w:val="DFEC55B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wZWQ2ZGIyMWFhMWQ1ODllMmQyNzY4MzJjZWJhOWIifQ=="/>
  </w:docVars>
  <w:rsids>
    <w:rsidRoot w:val="00A0579C"/>
    <w:rsid w:val="000029DA"/>
    <w:rsid w:val="00017102"/>
    <w:rsid w:val="00021F67"/>
    <w:rsid w:val="00026E93"/>
    <w:rsid w:val="00032C1C"/>
    <w:rsid w:val="00050127"/>
    <w:rsid w:val="000A6A0F"/>
    <w:rsid w:val="000D08CB"/>
    <w:rsid w:val="000D0B97"/>
    <w:rsid w:val="000D39D2"/>
    <w:rsid w:val="00122DFA"/>
    <w:rsid w:val="00123009"/>
    <w:rsid w:val="00124FE9"/>
    <w:rsid w:val="00132036"/>
    <w:rsid w:val="00147244"/>
    <w:rsid w:val="00194152"/>
    <w:rsid w:val="0019550B"/>
    <w:rsid w:val="001A7D66"/>
    <w:rsid w:val="001D479A"/>
    <w:rsid w:val="00201413"/>
    <w:rsid w:val="00202C9C"/>
    <w:rsid w:val="002077E7"/>
    <w:rsid w:val="00221C4B"/>
    <w:rsid w:val="0022317B"/>
    <w:rsid w:val="00224E56"/>
    <w:rsid w:val="00231851"/>
    <w:rsid w:val="00231D35"/>
    <w:rsid w:val="00242E03"/>
    <w:rsid w:val="002625B3"/>
    <w:rsid w:val="00263C29"/>
    <w:rsid w:val="002D6100"/>
    <w:rsid w:val="002F339D"/>
    <w:rsid w:val="002F7D06"/>
    <w:rsid w:val="0031162C"/>
    <w:rsid w:val="00323ED3"/>
    <w:rsid w:val="00325A17"/>
    <w:rsid w:val="003302D5"/>
    <w:rsid w:val="00335911"/>
    <w:rsid w:val="00335D3D"/>
    <w:rsid w:val="003707AE"/>
    <w:rsid w:val="003802D1"/>
    <w:rsid w:val="0038177A"/>
    <w:rsid w:val="00382542"/>
    <w:rsid w:val="003A2864"/>
    <w:rsid w:val="003C1299"/>
    <w:rsid w:val="003C5902"/>
    <w:rsid w:val="0041327E"/>
    <w:rsid w:val="00414E77"/>
    <w:rsid w:val="00423894"/>
    <w:rsid w:val="004446A0"/>
    <w:rsid w:val="004775AE"/>
    <w:rsid w:val="004A493C"/>
    <w:rsid w:val="004A7350"/>
    <w:rsid w:val="004B4465"/>
    <w:rsid w:val="004C6CA1"/>
    <w:rsid w:val="004E4BC9"/>
    <w:rsid w:val="0050126F"/>
    <w:rsid w:val="0052252C"/>
    <w:rsid w:val="005259E8"/>
    <w:rsid w:val="005654FA"/>
    <w:rsid w:val="00590637"/>
    <w:rsid w:val="00597EFF"/>
    <w:rsid w:val="005A2257"/>
    <w:rsid w:val="005A61F3"/>
    <w:rsid w:val="005B6098"/>
    <w:rsid w:val="005E0065"/>
    <w:rsid w:val="005E7B48"/>
    <w:rsid w:val="005E7F59"/>
    <w:rsid w:val="005F2574"/>
    <w:rsid w:val="005F49A6"/>
    <w:rsid w:val="005F7F48"/>
    <w:rsid w:val="0063054B"/>
    <w:rsid w:val="006422DA"/>
    <w:rsid w:val="00663516"/>
    <w:rsid w:val="006649D2"/>
    <w:rsid w:val="00674541"/>
    <w:rsid w:val="00675FB2"/>
    <w:rsid w:val="00682BE7"/>
    <w:rsid w:val="00694A09"/>
    <w:rsid w:val="006D74A4"/>
    <w:rsid w:val="00712C42"/>
    <w:rsid w:val="0072386E"/>
    <w:rsid w:val="007243D7"/>
    <w:rsid w:val="007257AF"/>
    <w:rsid w:val="00726E6D"/>
    <w:rsid w:val="00786B28"/>
    <w:rsid w:val="00787546"/>
    <w:rsid w:val="00792AFA"/>
    <w:rsid w:val="007A08BA"/>
    <w:rsid w:val="007B0A77"/>
    <w:rsid w:val="007B2444"/>
    <w:rsid w:val="007C1FA1"/>
    <w:rsid w:val="007C70B8"/>
    <w:rsid w:val="00806415"/>
    <w:rsid w:val="0081395D"/>
    <w:rsid w:val="00814AF3"/>
    <w:rsid w:val="00847F85"/>
    <w:rsid w:val="00867760"/>
    <w:rsid w:val="00875666"/>
    <w:rsid w:val="00877467"/>
    <w:rsid w:val="00885444"/>
    <w:rsid w:val="0089606D"/>
    <w:rsid w:val="008A1266"/>
    <w:rsid w:val="008C7DE9"/>
    <w:rsid w:val="0091552E"/>
    <w:rsid w:val="00922A0E"/>
    <w:rsid w:val="00940461"/>
    <w:rsid w:val="0098222A"/>
    <w:rsid w:val="00997325"/>
    <w:rsid w:val="009A7112"/>
    <w:rsid w:val="009B5C76"/>
    <w:rsid w:val="009C30F8"/>
    <w:rsid w:val="009C4FE1"/>
    <w:rsid w:val="009D3A12"/>
    <w:rsid w:val="009E497E"/>
    <w:rsid w:val="009F39B9"/>
    <w:rsid w:val="009F4C09"/>
    <w:rsid w:val="00A0579C"/>
    <w:rsid w:val="00A15696"/>
    <w:rsid w:val="00A1617F"/>
    <w:rsid w:val="00A315B2"/>
    <w:rsid w:val="00A42944"/>
    <w:rsid w:val="00A43CC4"/>
    <w:rsid w:val="00A82EE0"/>
    <w:rsid w:val="00A92671"/>
    <w:rsid w:val="00AB7D07"/>
    <w:rsid w:val="00AC5783"/>
    <w:rsid w:val="00AD2B17"/>
    <w:rsid w:val="00AD7370"/>
    <w:rsid w:val="00AE414D"/>
    <w:rsid w:val="00AF63DA"/>
    <w:rsid w:val="00B0538A"/>
    <w:rsid w:val="00B102DC"/>
    <w:rsid w:val="00B129C9"/>
    <w:rsid w:val="00B3071F"/>
    <w:rsid w:val="00B34D1E"/>
    <w:rsid w:val="00B51CAA"/>
    <w:rsid w:val="00B62860"/>
    <w:rsid w:val="00B65BE0"/>
    <w:rsid w:val="00B72781"/>
    <w:rsid w:val="00B815B7"/>
    <w:rsid w:val="00B9194C"/>
    <w:rsid w:val="00BA7A47"/>
    <w:rsid w:val="00BB456D"/>
    <w:rsid w:val="00BC775D"/>
    <w:rsid w:val="00BD34F8"/>
    <w:rsid w:val="00C13E79"/>
    <w:rsid w:val="00C339B4"/>
    <w:rsid w:val="00C56A76"/>
    <w:rsid w:val="00C631B8"/>
    <w:rsid w:val="00C967C2"/>
    <w:rsid w:val="00CB0714"/>
    <w:rsid w:val="00CC0E43"/>
    <w:rsid w:val="00CC1FE2"/>
    <w:rsid w:val="00CC49FC"/>
    <w:rsid w:val="00CD7FFA"/>
    <w:rsid w:val="00CE4328"/>
    <w:rsid w:val="00CE6613"/>
    <w:rsid w:val="00CF38C8"/>
    <w:rsid w:val="00D1052A"/>
    <w:rsid w:val="00D15DD2"/>
    <w:rsid w:val="00D804C6"/>
    <w:rsid w:val="00D90DB5"/>
    <w:rsid w:val="00DB3859"/>
    <w:rsid w:val="00DF51AD"/>
    <w:rsid w:val="00E03F85"/>
    <w:rsid w:val="00E04BE5"/>
    <w:rsid w:val="00E62187"/>
    <w:rsid w:val="00E7052E"/>
    <w:rsid w:val="00E852D4"/>
    <w:rsid w:val="00E92B1F"/>
    <w:rsid w:val="00E947E1"/>
    <w:rsid w:val="00EC4EA3"/>
    <w:rsid w:val="00EC6D84"/>
    <w:rsid w:val="00EF3670"/>
    <w:rsid w:val="00F22539"/>
    <w:rsid w:val="00F40AF1"/>
    <w:rsid w:val="00F429EB"/>
    <w:rsid w:val="00F63603"/>
    <w:rsid w:val="00F709FE"/>
    <w:rsid w:val="00FC6458"/>
    <w:rsid w:val="01B74261"/>
    <w:rsid w:val="01F52A32"/>
    <w:rsid w:val="02117D9A"/>
    <w:rsid w:val="054A18BF"/>
    <w:rsid w:val="06092D3D"/>
    <w:rsid w:val="06153D95"/>
    <w:rsid w:val="069074E0"/>
    <w:rsid w:val="075C1243"/>
    <w:rsid w:val="07E0692E"/>
    <w:rsid w:val="084A69E0"/>
    <w:rsid w:val="0A69C2BD"/>
    <w:rsid w:val="0BB94A24"/>
    <w:rsid w:val="0DE12612"/>
    <w:rsid w:val="0E693CA5"/>
    <w:rsid w:val="10C32250"/>
    <w:rsid w:val="10D92310"/>
    <w:rsid w:val="116B792C"/>
    <w:rsid w:val="11B13797"/>
    <w:rsid w:val="12EB6997"/>
    <w:rsid w:val="13C13F6B"/>
    <w:rsid w:val="14481B94"/>
    <w:rsid w:val="147F6CFF"/>
    <w:rsid w:val="14D35882"/>
    <w:rsid w:val="158419F8"/>
    <w:rsid w:val="15E02CDD"/>
    <w:rsid w:val="15E038B4"/>
    <w:rsid w:val="16CFA45A"/>
    <w:rsid w:val="181E645C"/>
    <w:rsid w:val="1AEF1276"/>
    <w:rsid w:val="1B4585EF"/>
    <w:rsid w:val="1C087481"/>
    <w:rsid w:val="1C3E56F6"/>
    <w:rsid w:val="1CB77E39"/>
    <w:rsid w:val="1CFD388C"/>
    <w:rsid w:val="1D9A121F"/>
    <w:rsid w:val="1EA16F12"/>
    <w:rsid w:val="1EDE7903"/>
    <w:rsid w:val="20F75A0D"/>
    <w:rsid w:val="213F667D"/>
    <w:rsid w:val="222E5F3F"/>
    <w:rsid w:val="228274AE"/>
    <w:rsid w:val="26DC6142"/>
    <w:rsid w:val="26E27064"/>
    <w:rsid w:val="276F4F06"/>
    <w:rsid w:val="295DBEBC"/>
    <w:rsid w:val="29923965"/>
    <w:rsid w:val="2A1C1F58"/>
    <w:rsid w:val="2BEB0457"/>
    <w:rsid w:val="2C460B36"/>
    <w:rsid w:val="2E4B5E8E"/>
    <w:rsid w:val="2EAF2298"/>
    <w:rsid w:val="2F690A64"/>
    <w:rsid w:val="2FAEACDA"/>
    <w:rsid w:val="31C73B58"/>
    <w:rsid w:val="351B1186"/>
    <w:rsid w:val="363DA341"/>
    <w:rsid w:val="365FD7D9"/>
    <w:rsid w:val="36F4B14D"/>
    <w:rsid w:val="37D33E1C"/>
    <w:rsid w:val="38D26C34"/>
    <w:rsid w:val="3A227FEF"/>
    <w:rsid w:val="3AB005A0"/>
    <w:rsid w:val="3B3720B6"/>
    <w:rsid w:val="3BF39094"/>
    <w:rsid w:val="3C5F759A"/>
    <w:rsid w:val="3DD75BCE"/>
    <w:rsid w:val="3DE7DA4D"/>
    <w:rsid w:val="3E375670"/>
    <w:rsid w:val="3F15E167"/>
    <w:rsid w:val="3F65D885"/>
    <w:rsid w:val="3FB24218"/>
    <w:rsid w:val="3FD33554"/>
    <w:rsid w:val="3FFDB047"/>
    <w:rsid w:val="3FFFDFFC"/>
    <w:rsid w:val="40415259"/>
    <w:rsid w:val="434B10FB"/>
    <w:rsid w:val="43DB793F"/>
    <w:rsid w:val="43F41848"/>
    <w:rsid w:val="444B7925"/>
    <w:rsid w:val="44AB5566"/>
    <w:rsid w:val="46115240"/>
    <w:rsid w:val="46FFAD2C"/>
    <w:rsid w:val="472E61B2"/>
    <w:rsid w:val="47B72585"/>
    <w:rsid w:val="47FF47F5"/>
    <w:rsid w:val="49EB5DA8"/>
    <w:rsid w:val="4B6B7E57"/>
    <w:rsid w:val="4DDBB1BA"/>
    <w:rsid w:val="4E2D7CD0"/>
    <w:rsid w:val="4EEC395A"/>
    <w:rsid w:val="4F2F9F8E"/>
    <w:rsid w:val="4F3DFAEE"/>
    <w:rsid w:val="514C6193"/>
    <w:rsid w:val="51AD7847"/>
    <w:rsid w:val="51BC14EE"/>
    <w:rsid w:val="52154284"/>
    <w:rsid w:val="53513120"/>
    <w:rsid w:val="539354E6"/>
    <w:rsid w:val="54DC6117"/>
    <w:rsid w:val="54EE3A5F"/>
    <w:rsid w:val="54FA6AC0"/>
    <w:rsid w:val="55BD79BA"/>
    <w:rsid w:val="55FCEC71"/>
    <w:rsid w:val="577FDD2A"/>
    <w:rsid w:val="57BF1CDA"/>
    <w:rsid w:val="57E92510"/>
    <w:rsid w:val="57FE75D5"/>
    <w:rsid w:val="58370641"/>
    <w:rsid w:val="58803B0B"/>
    <w:rsid w:val="589F3772"/>
    <w:rsid w:val="59FC72E9"/>
    <w:rsid w:val="5AEEA0A6"/>
    <w:rsid w:val="5B28211D"/>
    <w:rsid w:val="5BC93F18"/>
    <w:rsid w:val="5E017E41"/>
    <w:rsid w:val="5E7688A2"/>
    <w:rsid w:val="5F10764E"/>
    <w:rsid w:val="5F3142AE"/>
    <w:rsid w:val="5F3D0299"/>
    <w:rsid w:val="5FD83149"/>
    <w:rsid w:val="5FDB7B08"/>
    <w:rsid w:val="5FDEC398"/>
    <w:rsid w:val="5FEA27CE"/>
    <w:rsid w:val="5FFE6374"/>
    <w:rsid w:val="61133178"/>
    <w:rsid w:val="61E2349D"/>
    <w:rsid w:val="65115EE0"/>
    <w:rsid w:val="651E7E1A"/>
    <w:rsid w:val="667E027C"/>
    <w:rsid w:val="6A303637"/>
    <w:rsid w:val="6A5E49D8"/>
    <w:rsid w:val="6B2312D3"/>
    <w:rsid w:val="6BEE120A"/>
    <w:rsid w:val="6CE703F6"/>
    <w:rsid w:val="6DF9C672"/>
    <w:rsid w:val="6E011D6E"/>
    <w:rsid w:val="6F5F1FE6"/>
    <w:rsid w:val="6F7E48A7"/>
    <w:rsid w:val="6F8B248C"/>
    <w:rsid w:val="6FDEB3E4"/>
    <w:rsid w:val="6FED0D34"/>
    <w:rsid w:val="6FFFDDC2"/>
    <w:rsid w:val="701B1325"/>
    <w:rsid w:val="701F5AA3"/>
    <w:rsid w:val="70544E68"/>
    <w:rsid w:val="73CB1497"/>
    <w:rsid w:val="73E700C3"/>
    <w:rsid w:val="742B3014"/>
    <w:rsid w:val="748E210A"/>
    <w:rsid w:val="74DB5323"/>
    <w:rsid w:val="76AD404C"/>
    <w:rsid w:val="76BD4054"/>
    <w:rsid w:val="777F8C81"/>
    <w:rsid w:val="778D3C35"/>
    <w:rsid w:val="778E3E15"/>
    <w:rsid w:val="77CA6F7C"/>
    <w:rsid w:val="77FF2EB4"/>
    <w:rsid w:val="78591FAB"/>
    <w:rsid w:val="78BC59F0"/>
    <w:rsid w:val="79064631"/>
    <w:rsid w:val="796B1E5E"/>
    <w:rsid w:val="79D757BA"/>
    <w:rsid w:val="7A6FADEC"/>
    <w:rsid w:val="7A8320F3"/>
    <w:rsid w:val="7AFDD765"/>
    <w:rsid w:val="7B79C93B"/>
    <w:rsid w:val="7B7D1878"/>
    <w:rsid w:val="7BBFF33A"/>
    <w:rsid w:val="7BFBEE98"/>
    <w:rsid w:val="7CABA260"/>
    <w:rsid w:val="7DA15990"/>
    <w:rsid w:val="7DF7A2B5"/>
    <w:rsid w:val="7DFC1FA7"/>
    <w:rsid w:val="7E7F9853"/>
    <w:rsid w:val="7EBC4AA0"/>
    <w:rsid w:val="7ED9BDA8"/>
    <w:rsid w:val="7EDE5F32"/>
    <w:rsid w:val="7F351AE6"/>
    <w:rsid w:val="7F363568"/>
    <w:rsid w:val="7F367C3D"/>
    <w:rsid w:val="7F945288"/>
    <w:rsid w:val="7F999319"/>
    <w:rsid w:val="7F9A1968"/>
    <w:rsid w:val="7FB306B4"/>
    <w:rsid w:val="7FB516B5"/>
    <w:rsid w:val="7FB7FC61"/>
    <w:rsid w:val="7FB7FEF7"/>
    <w:rsid w:val="7FBF9584"/>
    <w:rsid w:val="7FDFE835"/>
    <w:rsid w:val="7FE7DCE1"/>
    <w:rsid w:val="7FFBA27E"/>
    <w:rsid w:val="7FFD4970"/>
    <w:rsid w:val="7FFFCF53"/>
    <w:rsid w:val="999F1AF8"/>
    <w:rsid w:val="9CFCB397"/>
    <w:rsid w:val="9FF3CFA2"/>
    <w:rsid w:val="A75FDAC0"/>
    <w:rsid w:val="AB7A104A"/>
    <w:rsid w:val="AFBEFDAD"/>
    <w:rsid w:val="AFBFE3FB"/>
    <w:rsid w:val="AFFF70AA"/>
    <w:rsid w:val="B6EFA0CC"/>
    <w:rsid w:val="B6FFEB3C"/>
    <w:rsid w:val="B9974DB9"/>
    <w:rsid w:val="BE7F7958"/>
    <w:rsid w:val="BEB70821"/>
    <w:rsid w:val="BFA9C7A3"/>
    <w:rsid w:val="BFDACD6D"/>
    <w:rsid w:val="BFE75F22"/>
    <w:rsid w:val="BFFEE65B"/>
    <w:rsid w:val="CDD5FD38"/>
    <w:rsid w:val="CDF7271C"/>
    <w:rsid w:val="CDFEB27A"/>
    <w:rsid w:val="D1774DF0"/>
    <w:rsid w:val="D3DF36E8"/>
    <w:rsid w:val="D5CB1ED3"/>
    <w:rsid w:val="D79EA22F"/>
    <w:rsid w:val="DBB27EB8"/>
    <w:rsid w:val="DBFEF3AB"/>
    <w:rsid w:val="DC3F59E9"/>
    <w:rsid w:val="DEDA8F38"/>
    <w:rsid w:val="DEDFF8A8"/>
    <w:rsid w:val="DEFD4398"/>
    <w:rsid w:val="DF1FCAA7"/>
    <w:rsid w:val="DF35DB5C"/>
    <w:rsid w:val="DFAFF8B3"/>
    <w:rsid w:val="DFB881EF"/>
    <w:rsid w:val="DFEAF702"/>
    <w:rsid w:val="DFF5AA8C"/>
    <w:rsid w:val="DFFFB2F3"/>
    <w:rsid w:val="E77E137E"/>
    <w:rsid w:val="EB4B745D"/>
    <w:rsid w:val="EB9FFFD8"/>
    <w:rsid w:val="EBDF9C3B"/>
    <w:rsid w:val="EBF5B548"/>
    <w:rsid w:val="ECCF052C"/>
    <w:rsid w:val="ED5F8A45"/>
    <w:rsid w:val="EDEA79F8"/>
    <w:rsid w:val="EDEC8206"/>
    <w:rsid w:val="EDFEF078"/>
    <w:rsid w:val="EF5E9F43"/>
    <w:rsid w:val="EF7D38BB"/>
    <w:rsid w:val="EFAF4848"/>
    <w:rsid w:val="EFDFE407"/>
    <w:rsid w:val="EFF66D55"/>
    <w:rsid w:val="F1FCBD38"/>
    <w:rsid w:val="F26F99B0"/>
    <w:rsid w:val="F3F9C21F"/>
    <w:rsid w:val="F57FB314"/>
    <w:rsid w:val="F5F31AC6"/>
    <w:rsid w:val="F6BFF6E0"/>
    <w:rsid w:val="F6F61371"/>
    <w:rsid w:val="F7BF930F"/>
    <w:rsid w:val="F7DA996D"/>
    <w:rsid w:val="F7FF6583"/>
    <w:rsid w:val="F97F60D7"/>
    <w:rsid w:val="FB5F1666"/>
    <w:rsid w:val="FB7A8DC1"/>
    <w:rsid w:val="FBBE3EA9"/>
    <w:rsid w:val="FBD5E629"/>
    <w:rsid w:val="FBDB4816"/>
    <w:rsid w:val="FBFD23F1"/>
    <w:rsid w:val="FBFD7A32"/>
    <w:rsid w:val="FD99C4D6"/>
    <w:rsid w:val="FDEA7603"/>
    <w:rsid w:val="FDEF5BAC"/>
    <w:rsid w:val="FE2FB2E0"/>
    <w:rsid w:val="FE320404"/>
    <w:rsid w:val="FEBDF86D"/>
    <w:rsid w:val="FEEDA468"/>
    <w:rsid w:val="FEF98A51"/>
    <w:rsid w:val="FEFE3F83"/>
    <w:rsid w:val="FEFF8578"/>
    <w:rsid w:val="FF0DABBC"/>
    <w:rsid w:val="FF3F6DA2"/>
    <w:rsid w:val="FF9E7095"/>
    <w:rsid w:val="FFD7AFD5"/>
    <w:rsid w:val="FFDDFB2F"/>
    <w:rsid w:val="FFDFC7B3"/>
    <w:rsid w:val="FFF5C196"/>
    <w:rsid w:val="FFF75BFE"/>
    <w:rsid w:val="FFFA11B5"/>
    <w:rsid w:val="FFFBB884"/>
    <w:rsid w:val="FFFFE087"/>
    <w:rsid w:val="FFFFE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atLeast"/>
      <w:jc w:val="both"/>
    </w:pPr>
    <w:rPr>
      <w:rFonts w:ascii="宋体" w:hAnsi="Calibri" w:eastAsia="宋体" w:cs="Times New Roman"/>
      <w:kern w:val="2"/>
      <w:sz w:val="24"/>
      <w:szCs w:val="22"/>
      <w:lang w:val="en-US" w:eastAsia="zh-CN" w:bidi="ar-SA"/>
    </w:rPr>
  </w:style>
  <w:style w:type="paragraph" w:styleId="2">
    <w:name w:val="heading 1"/>
    <w:basedOn w:val="1"/>
    <w:next w:val="1"/>
    <w:qFormat/>
    <w:uiPriority w:val="0"/>
    <w:pPr>
      <w:spacing w:beforeAutospacing="1" w:afterAutospacing="1"/>
      <w:jc w:val="left"/>
      <w:outlineLvl w:val="0"/>
    </w:pPr>
    <w:rPr>
      <w:rFonts w:hint="eastAsia" w:hAnsi="宋体"/>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hAnsi="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hAnsi="宋体"/>
      <w:b/>
      <w:bCs/>
      <w:kern w:val="0"/>
      <w:szCs w:val="24"/>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Date"/>
    <w:basedOn w:val="1"/>
    <w:next w:val="1"/>
    <w:link w:val="19"/>
    <w:qFormat/>
    <w:uiPriority w:val="0"/>
    <w:pPr>
      <w:ind w:left="100" w:leftChars="2500"/>
    </w:pPr>
  </w:style>
  <w:style w:type="paragraph" w:styleId="7">
    <w:name w:val="Balloon Text"/>
    <w:basedOn w:val="1"/>
    <w:link w:val="16"/>
    <w:qFormat/>
    <w:uiPriority w:val="0"/>
    <w:pPr>
      <w:spacing w:line="240" w:lineRule="auto"/>
    </w:pPr>
    <w:rPr>
      <w:sz w:val="18"/>
      <w:szCs w:val="18"/>
    </w:rPr>
  </w:style>
  <w:style w:type="paragraph" w:styleId="8">
    <w:name w:val="footer"/>
    <w:basedOn w:val="1"/>
    <w:qFormat/>
    <w:uiPriority w:val="99"/>
    <w:pPr>
      <w:tabs>
        <w:tab w:val="center" w:pos="4153"/>
        <w:tab w:val="right" w:pos="8306"/>
      </w:tabs>
      <w:snapToGrid w:val="0"/>
      <w:jc w:val="left"/>
    </w:pPr>
    <w:rPr>
      <w:kern w:val="0"/>
      <w:sz w:val="18"/>
      <w:szCs w:val="20"/>
      <w:lang w:val="zh-CN"/>
    </w:rPr>
  </w:style>
  <w:style w:type="paragraph" w:styleId="9">
    <w:name w:val="header"/>
    <w:basedOn w:val="1"/>
    <w:link w:val="15"/>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0">
    <w:name w:val="Normal (Web)"/>
    <w:basedOn w:val="1"/>
    <w:qFormat/>
    <w:uiPriority w:val="99"/>
    <w:pPr>
      <w:spacing w:beforeAutospacing="1" w:afterAutospacing="1"/>
      <w:jc w:val="left"/>
    </w:pPr>
    <w:rPr>
      <w:kern w:val="0"/>
    </w:rPr>
  </w:style>
  <w:style w:type="character" w:styleId="13">
    <w:name w:val="Strong"/>
    <w:basedOn w:val="12"/>
    <w:qFormat/>
    <w:uiPriority w:val="22"/>
    <w:rPr>
      <w:b/>
    </w:rPr>
  </w:style>
  <w:style w:type="character" w:styleId="14">
    <w:name w:val="Hyperlink"/>
    <w:basedOn w:val="12"/>
    <w:qFormat/>
    <w:uiPriority w:val="0"/>
    <w:rPr>
      <w:color w:val="0000FF"/>
      <w:u w:val="single"/>
    </w:rPr>
  </w:style>
  <w:style w:type="character" w:customStyle="1" w:styleId="15">
    <w:name w:val="页眉 字符"/>
    <w:basedOn w:val="12"/>
    <w:link w:val="9"/>
    <w:qFormat/>
    <w:uiPriority w:val="0"/>
    <w:rPr>
      <w:rFonts w:ascii="宋体" w:hAnsi="Calibri"/>
      <w:kern w:val="2"/>
      <w:sz w:val="18"/>
      <w:szCs w:val="18"/>
    </w:rPr>
  </w:style>
  <w:style w:type="character" w:customStyle="1" w:styleId="16">
    <w:name w:val="批注框文本 字符"/>
    <w:basedOn w:val="12"/>
    <w:link w:val="7"/>
    <w:qFormat/>
    <w:uiPriority w:val="0"/>
    <w:rPr>
      <w:rFonts w:ascii="宋体" w:hAnsi="Calibri"/>
      <w:kern w:val="2"/>
      <w:sz w:val="18"/>
      <w:szCs w:val="18"/>
    </w:rPr>
  </w:style>
  <w:style w:type="paragraph" w:customStyle="1" w:styleId="17">
    <w:name w:val="_Style 15"/>
    <w:basedOn w:val="1"/>
    <w:next w:val="1"/>
    <w:qFormat/>
    <w:uiPriority w:val="0"/>
    <w:pPr>
      <w:pBdr>
        <w:bottom w:val="single" w:color="auto" w:sz="6" w:space="1"/>
      </w:pBdr>
      <w:jc w:val="center"/>
    </w:pPr>
    <w:rPr>
      <w:rFonts w:ascii="Arial"/>
      <w:vanish/>
      <w:sz w:val="16"/>
    </w:rPr>
  </w:style>
  <w:style w:type="paragraph" w:customStyle="1" w:styleId="18">
    <w:name w:val="_Style 16"/>
    <w:basedOn w:val="1"/>
    <w:next w:val="1"/>
    <w:qFormat/>
    <w:uiPriority w:val="0"/>
    <w:pPr>
      <w:pBdr>
        <w:top w:val="single" w:color="auto" w:sz="6" w:space="1"/>
      </w:pBdr>
      <w:jc w:val="center"/>
    </w:pPr>
    <w:rPr>
      <w:rFonts w:ascii="Arial"/>
      <w:vanish/>
      <w:sz w:val="16"/>
    </w:rPr>
  </w:style>
  <w:style w:type="character" w:customStyle="1" w:styleId="19">
    <w:name w:val="日期 字符"/>
    <w:basedOn w:val="12"/>
    <w:link w:val="6"/>
    <w:qFormat/>
    <w:uiPriority w:val="0"/>
    <w:rPr>
      <w:rFonts w:ascii="宋体" w:hAnsi="Calibri"/>
      <w:kern w:val="2"/>
      <w:sz w:val="24"/>
      <w:szCs w:val="22"/>
    </w:rPr>
  </w:style>
  <w:style w:type="paragraph" w:styleId="20">
    <w:name w:val="List Paragraph"/>
    <w:basedOn w:val="1"/>
    <w:unhideWhenUsed/>
    <w:qFormat/>
    <w:uiPriority w:val="99"/>
    <w:pPr>
      <w:ind w:firstLine="420" w:firstLineChars="200"/>
    </w:pPr>
  </w:style>
  <w:style w:type="paragraph" w:customStyle="1" w:styleId="21">
    <w:name w:val="Special Report Body"/>
    <w:qFormat/>
    <w:uiPriority w:val="0"/>
    <w:pPr>
      <w:spacing w:before="0" w:after="0" w:line="560" w:lineRule="exact"/>
      <w:ind w:firstLine="640"/>
      <w:jc w:val="both"/>
    </w:pPr>
    <w:rPr>
      <w:rFonts w:ascii="仿宋_GB2312" w:hAnsi="仿宋_GB2312" w:eastAsia="仿宋_GB2312" w:cs="仿宋_GB2312"/>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16ff43be-6bf3-4009-89c3-143a8c155c76</errorID>
      <errorWord>加入到</errorWord>
      <group>L1_Word</group>
      <groupName>字词问题</groupName>
      <ability>L2_Typo</ability>
      <abilityName>字词错误</abilityName>
      <candidateList>
        <item>加入</item>
      </candidateList>
      <explain>〈动〉❶加上；掺进去：～食糖少许。❷参加进去：～工会｜～足球队。</explain>
      <paraID>4FE0ED7B</paraID>
      <start>37</start>
      <end>40</end>
      <status>unmodified</status>
      <modifiedWord/>
      <trackRevisions>false</trackRevisions>
    </reviewItem>
    <reviewItem>
      <errorID>e9789117-eae2-473d-bf74-3fa0cc40b272</errorID>
      <errorWord>计</errorWord>
      <group>L1_Word</group>
      <groupName>字词问题</groupName>
      <ability>L2_Typo</ability>
      <abilityName>字词错误</abilityName>
      <candidateList>
        <item>计和</item>
      </candidateList>
      <explain/>
      <paraID>15AA364D</paraID>
      <start>86</start>
      <end>87</end>
      <status>unmodified</status>
      <modifiedWord/>
      <trackRevisions>false</trackRevisions>
    </reviewItem>
    <reviewItem>
      <errorID>73ddaf24-51a3-4da3-861f-f8c2fd8cdad1</errorID>
      <errorWord>)</errorWord>
      <group>L1_Format</group>
      <groupName>格式问题</groupName>
      <ability>L2_HalfPunc_CN</ability>
      <abilityName>全半角检查</abilityName>
      <candidateList>
        <item>）</item>
      </candidateList>
      <explain>文本全半角错误。</explain>
      <paraID> 2501AF0</paraID>
      <start>52</start>
      <end>53</end>
      <status>unmodified</status>
      <modifiedWord/>
      <trackRevisions>false</trackRevisions>
    </reviewItem>
    <reviewItem>
      <errorID>1f2ca48d-6b2a-4d4f-895d-6bf7047ceb5c</errorID>
      <errorWord>专制国家</errorWord>
      <group>L1_Sensitive</group>
      <groupName>敏感问题</groupName>
      <ability>L2_Violent</ability>
      <abilityName>暴恐词条</abilityName>
      <candidateList/>
      <explain>【暴恐词条】句中包含暴恐类敏感词条，请注意甄别。</explain>
      <paraID>2DB2CCC8</paraID>
      <start>89</start>
      <end>93</end>
      <status>unmodified</status>
      <modifiedWord/>
      <trackRevisions>false</trackRevisions>
    </reviewItem>
    <reviewItem>
      <errorID>0937c1db-83c1-43ee-b13b-f6e276a37cdc</errorID>
      <errorWord>据泄露的公司文件显示</errorWord>
      <group>L1_Grammar</group>
      <groupName>语法问题</groupName>
      <ability>L2_Grammar</ability>
      <abilityName>语法错误</abilityName>
      <candidateList>
        <item>据泄露的公司文件</item>
      </candidateList>
      <explain>该表达中的“据泄露的公司文件显示”存在语义重复。</explain>
      <paraID>68AAA8E5</paraID>
      <start>55</start>
      <end>65</end>
      <status>unmodified</status>
      <modifiedWord/>
      <trackRevisions>false</trackRevisions>
    </reviewItem>
    <reviewItem>
      <errorID>cfda3568-5c0c-42d9-9f1d-5897a0731c81</errorID>
      <errorWord>经济放缓</errorWord>
      <group>L1_Word</group>
      <groupName>字词问题</groupName>
      <ability>L2_Typo</ability>
      <abilityName>字词错误</abilityName>
      <candidateList>
        <item>经济增长放缓</item>
      </candidateList>
      <explain/>
      <paraID>197E9D56</paraID>
      <start>53</start>
      <end>57</end>
      <status>unmodified</status>
      <modifiedWord/>
      <trackRevisions>false</trackRevisions>
    </reviewItem>
    <reviewItem>
      <errorID>799042c6-b4e0-49b6-bc29-0f4004ff046f</errorID>
      <errorWord>正</errorWord>
      <group>L1_Word</group>
      <groupName>字词问题</groupName>
      <ability>L2_Typo</ability>
      <abilityName>字词错误</abilityName>
      <candidateList>
        <item>正在</item>
      </candidateList>
      <explain/>
      <paraID>197E9D56</paraID>
      <start>88</start>
      <end>89</end>
      <status>unmodified</status>
      <modifiedWord/>
      <trackRevisions>false</trackRevisions>
    </reviewItem>
    <reviewItem>
      <errorID>f1a7d97c-fe0b-472b-b02e-ff2b6f5b0ac2</errorID>
      <errorWord>即时通讯</errorWord>
      <group>L1_Word</group>
      <groupName>字词问题</groupName>
      <ability>L2_Typo</ability>
      <abilityName>字词错误</abilityName>
      <candidateList>
        <item>即时通信</item>
      </candidateList>
      <explain/>
      <paraID>12E98A62</paraID>
      <start>12</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6E90F9-4592-452A-A62D-1592E57D4A2E}">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6304</Words>
  <Characters>6901</Characters>
  <Lines>49</Lines>
  <Paragraphs>14</Paragraphs>
  <TotalTime>8</TotalTime>
  <ScaleCrop>false</ScaleCrop>
  <LinksUpToDate>false</LinksUpToDate>
  <CharactersWithSpaces>6925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2025-07-28T03:45:00Z</dcterms:created>
  <dc:creator>李宛霖</dc:creator>
  <cp:lastModifiedBy>xjh</cp:lastModifiedBy>
  <cp:lastPrinted>2025-10-13T13:06:00Z</cp:lastPrinted>
  <dcterms:modified xsi:type="dcterms:W3CDTF">2026-06-26T06:38:21Z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24AEE9F62F8D480A8D4BE01BA3456861_13</vt:lpwstr>
  </property>
  <property fmtid="{D5CDD505-2E9C-101B-9397-08002B2CF9AE}" pid="4" name="KSOTemplateDocerSaveRecord">
    <vt:lpwstr>eyJoZGlkIjoiZjJhZTA4MmMwZWExOTRjZTM3OTc3MWM0YTY0ZmJmYWMiLCJ1c2VySWQiOiIxMjcyODY3OTU0In0=</vt:lpwstr>
  </property>
</Properties>
</file>