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DD0F9">
      <w:pPr>
        <w:jc w:val="center"/>
        <w:rPr>
          <w:rFonts w:ascii="华文中宋" w:hAnsi="华文中宋" w:eastAsia="华文中宋" w:cs="华文中宋"/>
          <w:sz w:val="36"/>
          <w:szCs w:val="36"/>
        </w:rPr>
      </w:pPr>
      <w:r>
        <w:rPr>
          <w:rFonts w:hint="eastAsia" w:ascii="华文中宋" w:hAnsi="华文中宋" w:eastAsia="华文中宋" w:cs="华文中宋"/>
          <w:sz w:val="36"/>
          <w:szCs w:val="36"/>
        </w:rPr>
        <w:t>2026062</w:t>
      </w:r>
      <w:r>
        <w:rPr>
          <w:rFonts w:hint="eastAsia" w:ascii="华文中宋" w:hAnsi="华文中宋" w:eastAsia="华文中宋" w:cs="华文中宋"/>
          <w:sz w:val="36"/>
          <w:szCs w:val="36"/>
          <w:lang w:val="en-US" w:eastAsia="zh-CN"/>
        </w:rPr>
        <w:t>6</w:t>
      </w:r>
      <w:r>
        <w:rPr>
          <w:rFonts w:hint="eastAsia" w:ascii="华文中宋" w:hAnsi="华文中宋" w:eastAsia="华文中宋" w:cs="华文中宋"/>
          <w:sz w:val="36"/>
          <w:szCs w:val="36"/>
        </w:rPr>
        <w:t>境外动态（中科数科）</w:t>
      </w:r>
    </w:p>
    <w:p w14:paraId="0EE6B175">
      <w:pPr>
        <w:ind w:firstLine="640" w:firstLineChars="200"/>
        <w:outlineLvl w:val="0"/>
        <w:rPr>
          <w:rFonts w:ascii="黑体" w:hAnsi="黑体" w:eastAsia="黑体" w:cs="黑体"/>
          <w:sz w:val="32"/>
          <w:szCs w:val="32"/>
        </w:rPr>
      </w:pPr>
    </w:p>
    <w:p w14:paraId="2705CD30">
      <w:pPr>
        <w:ind w:firstLine="640" w:firstLineChars="200"/>
        <w:outlineLvl w:val="0"/>
        <w:rPr>
          <w:rFonts w:ascii="黑体" w:hAnsi="黑体" w:eastAsia="黑体" w:cs="黑体"/>
          <w:sz w:val="32"/>
          <w:szCs w:val="32"/>
        </w:rPr>
      </w:pPr>
      <w:r>
        <w:rPr>
          <w:rFonts w:hint="eastAsia" w:ascii="黑体" w:hAnsi="黑体" w:eastAsia="黑体" w:cs="黑体"/>
          <w:sz w:val="32"/>
          <w:szCs w:val="32"/>
        </w:rPr>
        <w:t>一、对华攻击点</w:t>
      </w:r>
    </w:p>
    <w:p w14:paraId="45408F9D">
      <w:pPr>
        <w:tabs>
          <w:tab w:val="left" w:pos="2604"/>
        </w:tabs>
        <w:ind w:firstLine="643" w:firstLineChars="200"/>
        <w:outlineLvl w:val="0"/>
        <w:rPr>
          <w:rFonts w:hint="eastAsia" w:ascii="仿宋_GB2312" w:hAnsi="仿宋_GB2312" w:eastAsia="仿宋_GB2312" w:cs="仿宋_GB2312"/>
          <w:bCs/>
          <w:sz w:val="32"/>
          <w:szCs w:val="32"/>
        </w:rPr>
      </w:pPr>
      <w:bookmarkStart w:id="0" w:name="OLE_LINK7"/>
      <w:r>
        <w:rPr>
          <w:rFonts w:hint="eastAsia" w:ascii="仿宋_GB2312" w:hAnsi="仿宋_GB2312" w:eastAsia="仿宋_GB2312" w:cs="仿宋_GB2312"/>
          <w:b/>
          <w:bCs w:val="0"/>
          <w:sz w:val="32"/>
          <w:szCs w:val="32"/>
        </w:rPr>
        <w:t>1.美国禁止中资电动汽车制造商极星在美销售新车。</w:t>
      </w:r>
      <w:r>
        <w:rPr>
          <w:rFonts w:hint="eastAsia" w:ascii="仿宋_GB2312" w:hAnsi="仿宋_GB2312" w:eastAsia="仿宋_GB2312" w:cs="仿宋_GB2312"/>
          <w:bCs/>
          <w:sz w:val="32"/>
          <w:szCs w:val="32"/>
        </w:rPr>
        <w:t>6月26日，《华尔街日报》报</w:t>
      </w:r>
      <w:bookmarkStart w:id="1" w:name="_GoBack"/>
      <w:bookmarkEnd w:id="1"/>
      <w:r>
        <w:rPr>
          <w:rFonts w:hint="eastAsia" w:ascii="仿宋_GB2312" w:hAnsi="仿宋_GB2312" w:eastAsia="仿宋_GB2312" w:cs="仿宋_GB2312"/>
          <w:bCs/>
          <w:sz w:val="32"/>
          <w:szCs w:val="32"/>
        </w:rPr>
        <w:t>道，从沃尔沃（Volvo）分拆出来的中资控股电动汽车品牌极星（Polestar）将退出美国市场，因美国商务部禁止该公司在美国销售新车。</w:t>
      </w:r>
    </w:p>
    <w:p w14:paraId="722316FD">
      <w:pPr>
        <w:tabs>
          <w:tab w:val="left" w:pos="2604"/>
        </w:tabs>
        <w:ind w:firstLine="640" w:firstLineChars="200"/>
        <w:outlineLvl w:val="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https://cn.wsj.com/articles/%E7%BE%8E%E5%9B%BD%E7%A6%81%E6%AD%A2%E4%B8%AD%E8%B5%84%E7%94%B5%E5%8A%A8%E6%B1%BD%E8%BD%A6%E5%88%B6%E9%80%A0%E5%95%86%E6%9E%81%E6%98%9F%E5%9C%A8%E7%BE%8E%E9%94%80%E5%94%AE%E6%96%B0%E8%BD%A6-d36694a7</w:t>
      </w:r>
    </w:p>
    <w:p w14:paraId="7EDC4222">
      <w:pPr>
        <w:tabs>
          <w:tab w:val="left" w:pos="2604"/>
        </w:tabs>
        <w:ind w:firstLine="643" w:firstLineChars="200"/>
        <w:outlineLvl w:val="0"/>
        <w:rPr>
          <w:rFonts w:hint="eastAsia" w:ascii="仿宋_GB2312" w:hAnsi="仿宋_GB2312" w:eastAsia="仿宋_GB2312" w:cs="仿宋_GB2312"/>
          <w:bCs/>
          <w:sz w:val="32"/>
          <w:szCs w:val="32"/>
        </w:rPr>
      </w:pPr>
      <w:r>
        <w:rPr>
          <w:rFonts w:hint="eastAsia" w:ascii="仿宋_GB2312" w:hAnsi="仿宋_GB2312" w:eastAsia="仿宋_GB2312" w:cs="仿宋_GB2312"/>
          <w:b/>
          <w:bCs w:val="0"/>
          <w:sz w:val="32"/>
          <w:szCs w:val="32"/>
          <w:lang w:val="en-US" w:eastAsia="zh-CN"/>
        </w:rPr>
        <w:t>2.</w:t>
      </w:r>
      <w:r>
        <w:rPr>
          <w:rFonts w:hint="eastAsia" w:ascii="仿宋_GB2312" w:hAnsi="仿宋_GB2312" w:eastAsia="仿宋_GB2312" w:cs="仿宋_GB2312"/>
          <w:b/>
          <w:bCs w:val="0"/>
          <w:sz w:val="32"/>
          <w:szCs w:val="32"/>
        </w:rPr>
        <w:t>中国大力发展“未来产业”引发风险投资热潮，泡沫担忧加剧。</w:t>
      </w:r>
      <w:r>
        <w:rPr>
          <w:rFonts w:hint="eastAsia" w:ascii="仿宋_GB2312" w:hAnsi="仿宋_GB2312" w:eastAsia="仿宋_GB2312" w:cs="仿宋_GB2312"/>
          <w:bCs/>
          <w:sz w:val="32"/>
          <w:szCs w:val="32"/>
        </w:rPr>
        <w:t>6月25日，路透社报道，SpaceX历史性地上市仅两天后，一家中国航天初创公司便举行了首轮融资的投资者路演，并宣称其使命是帮助中国在太空竞赛中赶上美国。</w:t>
      </w:r>
    </w:p>
    <w:p w14:paraId="35EF110A">
      <w:pPr>
        <w:tabs>
          <w:tab w:val="left" w:pos="2604"/>
        </w:tabs>
        <w:ind w:firstLine="640" w:firstLineChars="200"/>
        <w:outlineLvl w:val="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fldChar w:fldCharType="begin"/>
      </w:r>
      <w:r>
        <w:rPr>
          <w:rFonts w:hint="eastAsia" w:ascii="仿宋_GB2312" w:hAnsi="仿宋_GB2312" w:eastAsia="仿宋_GB2312" w:cs="仿宋_GB2312"/>
          <w:bCs/>
          <w:sz w:val="32"/>
          <w:szCs w:val="32"/>
        </w:rPr>
        <w:instrText xml:space="preserve"> HYPERLINK "https://www.reuters.com/world/asia-pacific/chinas-future-industries-push-triggers-flood-venture-capital-bubble-concerns-2026-06-24/" </w:instrText>
      </w:r>
      <w:r>
        <w:rPr>
          <w:rFonts w:hint="eastAsia" w:ascii="仿宋_GB2312" w:hAnsi="仿宋_GB2312" w:eastAsia="仿宋_GB2312" w:cs="仿宋_GB2312"/>
          <w:bCs/>
          <w:sz w:val="32"/>
          <w:szCs w:val="32"/>
        </w:rPr>
        <w:fldChar w:fldCharType="separate"/>
      </w:r>
      <w:r>
        <w:rPr>
          <w:rFonts w:hint="eastAsia" w:ascii="仿宋_GB2312" w:hAnsi="仿宋_GB2312" w:eastAsia="仿宋_GB2312" w:cs="仿宋_GB2312"/>
          <w:bCs/>
          <w:sz w:val="32"/>
          <w:szCs w:val="32"/>
        </w:rPr>
        <w:t>https://www.reuters.com/world/asia-pacific/chinas-future-industries-push-triggers-flood-venture-capital-bubble-concerns-2026-06-24/</w:t>
      </w:r>
      <w:r>
        <w:rPr>
          <w:rFonts w:hint="eastAsia" w:ascii="仿宋_GB2312" w:hAnsi="仿宋_GB2312" w:eastAsia="仿宋_GB2312" w:cs="仿宋_GB2312"/>
          <w:bCs/>
          <w:sz w:val="32"/>
          <w:szCs w:val="32"/>
        </w:rPr>
        <w:fldChar w:fldCharType="end"/>
      </w:r>
    </w:p>
    <w:bookmarkEnd w:id="0"/>
    <w:p w14:paraId="6022331E">
      <w:pPr>
        <w:tabs>
          <w:tab w:val="left" w:pos="2604"/>
        </w:tabs>
        <w:ind w:firstLine="643" w:firstLineChars="200"/>
        <w:outlineLvl w:val="0"/>
        <w:rPr>
          <w:rFonts w:hint="eastAsia" w:ascii="仿宋_GB2312" w:hAnsi="仿宋_GB2312" w:eastAsia="仿宋_GB2312" w:cs="仿宋_GB2312"/>
          <w:b w:val="0"/>
          <w:bCs/>
          <w:sz w:val="32"/>
          <w:szCs w:val="32"/>
        </w:rPr>
      </w:pPr>
      <w:r>
        <w:rPr>
          <w:rFonts w:hint="eastAsia" w:ascii="仿宋_GB2312" w:hAnsi="仿宋_GB2312" w:eastAsia="仿宋_GB2312" w:cs="仿宋_GB2312"/>
          <w:b/>
          <w:sz w:val="32"/>
          <w:szCs w:val="32"/>
          <w:lang w:val="en-US" w:eastAsia="zh-CN"/>
        </w:rPr>
        <w:t>3</w:t>
      </w:r>
      <w:r>
        <w:rPr>
          <w:rFonts w:hint="eastAsia" w:ascii="仿宋_GB2312" w:hAnsi="仿宋_GB2312" w:eastAsia="仿宋_GB2312" w:cs="仿宋_GB2312"/>
          <w:b/>
          <w:sz w:val="32"/>
          <w:szCs w:val="32"/>
        </w:rPr>
        <w:t>.现在对中国经济松口气还为时过早。</w:t>
      </w:r>
      <w:r>
        <w:rPr>
          <w:rFonts w:hint="eastAsia" w:ascii="仿宋_GB2312" w:hAnsi="仿宋_GB2312" w:eastAsia="仿宋_GB2312" w:cs="仿宋_GB2312"/>
          <w:b w:val="0"/>
          <w:bCs/>
          <w:sz w:val="32"/>
          <w:szCs w:val="32"/>
        </w:rPr>
        <w:t>6月25日，彭博社报道，现在就对中国经济复苏掉以轻心还为时过早。一系列令人失望的经济数据表明，可能需要出台更多刺激措施——前提是官员们能够齐心协力，认真执行。</w:t>
      </w:r>
    </w:p>
    <w:p w14:paraId="610B74F0">
      <w:pPr>
        <w:tabs>
          <w:tab w:val="left" w:pos="2604"/>
        </w:tabs>
        <w:ind w:firstLine="640" w:firstLineChars="200"/>
        <w:outlineLvl w:val="0"/>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rPr>
        <w:fldChar w:fldCharType="begin"/>
      </w:r>
      <w:r>
        <w:rPr>
          <w:rFonts w:hint="eastAsia" w:ascii="仿宋_GB2312" w:hAnsi="仿宋_GB2312" w:eastAsia="仿宋_GB2312" w:cs="仿宋_GB2312"/>
          <w:b w:val="0"/>
          <w:bCs/>
          <w:sz w:val="32"/>
          <w:szCs w:val="32"/>
        </w:rPr>
        <w:instrText xml:space="preserve"> HYPERLINK "https://www.bloomberg.com/opinion/articles/2026-06-24/it-s-too-soon-to-breathe-easy-on-china-s-economy" </w:instrText>
      </w:r>
      <w:r>
        <w:rPr>
          <w:rFonts w:hint="eastAsia" w:ascii="仿宋_GB2312" w:hAnsi="仿宋_GB2312" w:eastAsia="仿宋_GB2312" w:cs="仿宋_GB2312"/>
          <w:b w:val="0"/>
          <w:bCs/>
          <w:sz w:val="32"/>
          <w:szCs w:val="32"/>
        </w:rPr>
        <w:fldChar w:fldCharType="separate"/>
      </w:r>
      <w:r>
        <w:rPr>
          <w:rFonts w:hint="eastAsia" w:ascii="仿宋_GB2312" w:hAnsi="仿宋_GB2312" w:eastAsia="仿宋_GB2312" w:cs="仿宋_GB2312"/>
          <w:b w:val="0"/>
          <w:bCs/>
          <w:sz w:val="32"/>
          <w:szCs w:val="32"/>
        </w:rPr>
        <w:t>https://www.bloomberg.com/opinion/articles/2026-06-24/it-s-too-soon-to-breathe-easy-on-china-s-economy</w:t>
      </w:r>
      <w:r>
        <w:rPr>
          <w:rFonts w:hint="eastAsia" w:ascii="仿宋_GB2312" w:hAnsi="仿宋_GB2312" w:eastAsia="仿宋_GB2312" w:cs="仿宋_GB2312"/>
          <w:b w:val="0"/>
          <w:bCs/>
          <w:sz w:val="32"/>
          <w:szCs w:val="32"/>
        </w:rPr>
        <w:fldChar w:fldCharType="end"/>
      </w:r>
    </w:p>
    <w:p w14:paraId="2B1E1BD7">
      <w:pPr>
        <w:tabs>
          <w:tab w:val="left" w:pos="2604"/>
        </w:tabs>
        <w:ind w:firstLine="643" w:firstLineChars="200"/>
        <w:outlineLvl w:val="0"/>
        <w:rPr>
          <w:rFonts w:hint="eastAsia" w:ascii="仿宋_GB2312" w:hAnsi="仿宋_GB2312" w:eastAsia="仿宋_GB2312" w:cs="仿宋_GB2312"/>
          <w:b w:val="0"/>
          <w:bCs/>
          <w:sz w:val="32"/>
          <w:szCs w:val="32"/>
        </w:rPr>
      </w:pPr>
      <w:r>
        <w:rPr>
          <w:rFonts w:hint="eastAsia" w:ascii="仿宋_GB2312" w:hAnsi="仿宋_GB2312" w:eastAsia="仿宋_GB2312" w:cs="仿宋_GB2312"/>
          <w:b/>
          <w:sz w:val="32"/>
          <w:szCs w:val="32"/>
          <w:lang w:val="en-US" w:eastAsia="zh-CN"/>
        </w:rPr>
        <w:t>4</w:t>
      </w:r>
      <w:r>
        <w:rPr>
          <w:rFonts w:hint="eastAsia" w:ascii="仿宋_GB2312" w:hAnsi="仿宋_GB2312" w:eastAsia="仿宋_GB2312" w:cs="仿宋_GB2312"/>
          <w:b/>
          <w:sz w:val="32"/>
          <w:szCs w:val="32"/>
        </w:rPr>
        <w:t>.中国的去美元化运动遭遇瓶颈。</w:t>
      </w:r>
      <w:r>
        <w:rPr>
          <w:rFonts w:hint="eastAsia" w:ascii="仿宋_GB2312" w:hAnsi="仿宋_GB2312" w:eastAsia="仿宋_GB2312" w:cs="仿宋_GB2312"/>
          <w:b w:val="0"/>
          <w:bCs/>
          <w:sz w:val="32"/>
          <w:szCs w:val="32"/>
        </w:rPr>
        <w:t>6月25日，Foreign Policy报道，中国决策者再次将目光投向美元。6月17日，中国人民银行行长公布了一项新的计划，旨在将全球金融资金引入人民币，其中包括离岸人民币交易试点项目和面向各国央行的新型货币互换额度。</w:t>
      </w:r>
    </w:p>
    <w:p w14:paraId="30A10825">
      <w:pPr>
        <w:tabs>
          <w:tab w:val="left" w:pos="2604"/>
        </w:tabs>
        <w:ind w:firstLine="640" w:firstLineChars="200"/>
        <w:outlineLvl w:val="0"/>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rPr>
        <w:fldChar w:fldCharType="begin"/>
      </w:r>
      <w:r>
        <w:rPr>
          <w:rFonts w:hint="eastAsia" w:ascii="仿宋_GB2312" w:hAnsi="仿宋_GB2312" w:eastAsia="仿宋_GB2312" w:cs="仿宋_GB2312"/>
          <w:b w:val="0"/>
          <w:bCs/>
          <w:sz w:val="32"/>
          <w:szCs w:val="32"/>
        </w:rPr>
        <w:instrText xml:space="preserve"> HYPERLINK "https://foreignpolicy.com/2026/06/24/china-dollar-dedollarization-yuan-renminbi-brics-finance-banks-sanctions/" </w:instrText>
      </w:r>
      <w:r>
        <w:rPr>
          <w:rFonts w:hint="eastAsia" w:ascii="仿宋_GB2312" w:hAnsi="仿宋_GB2312" w:eastAsia="仿宋_GB2312" w:cs="仿宋_GB2312"/>
          <w:b w:val="0"/>
          <w:bCs/>
          <w:sz w:val="32"/>
          <w:szCs w:val="32"/>
        </w:rPr>
        <w:fldChar w:fldCharType="separate"/>
      </w:r>
      <w:r>
        <w:rPr>
          <w:rFonts w:hint="eastAsia" w:ascii="仿宋_GB2312" w:hAnsi="仿宋_GB2312" w:eastAsia="仿宋_GB2312" w:cs="仿宋_GB2312"/>
          <w:b w:val="0"/>
          <w:bCs/>
          <w:sz w:val="32"/>
          <w:szCs w:val="32"/>
        </w:rPr>
        <w:t>https://foreignpolicy.com/2026/06/24/china-dollar-dedollarization-yuan-renminbi-brics-finance-banks-sanctions/</w:t>
      </w:r>
      <w:r>
        <w:rPr>
          <w:rFonts w:hint="eastAsia" w:ascii="仿宋_GB2312" w:hAnsi="仿宋_GB2312" w:eastAsia="仿宋_GB2312" w:cs="仿宋_GB2312"/>
          <w:b w:val="0"/>
          <w:bCs/>
          <w:sz w:val="32"/>
          <w:szCs w:val="32"/>
        </w:rPr>
        <w:fldChar w:fldCharType="end"/>
      </w:r>
    </w:p>
    <w:p w14:paraId="7EA0E5DC">
      <w:pPr>
        <w:tabs>
          <w:tab w:val="left" w:pos="2604"/>
        </w:tabs>
        <w:ind w:firstLine="643" w:firstLineChars="200"/>
        <w:outlineLvl w:val="0"/>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sz w:val="32"/>
          <w:szCs w:val="32"/>
          <w:lang w:val="en-US" w:eastAsia="zh-CN"/>
        </w:rPr>
        <w:t>5</w:t>
      </w:r>
      <w:r>
        <w:rPr>
          <w:rFonts w:hint="eastAsia" w:ascii="仿宋_GB2312" w:hAnsi="仿宋_GB2312" w:eastAsia="仿宋_GB2312" w:cs="仿宋_GB2312"/>
          <w:b/>
          <w:sz w:val="32"/>
          <w:szCs w:val="32"/>
        </w:rPr>
        <w:t>.日本对氟回收企业实施登记制，摆脱对华依赖。</w:t>
      </w:r>
      <w:r>
        <w:rPr>
          <w:rFonts w:hint="eastAsia" w:ascii="仿宋_GB2312" w:hAnsi="仿宋_GB2312" w:eastAsia="仿宋_GB2312" w:cs="仿宋_GB2312"/>
          <w:b w:val="0"/>
          <w:bCs/>
          <w:sz w:val="32"/>
          <w:szCs w:val="32"/>
        </w:rPr>
        <w:t>6月25日，日经中文网报道，日本政府将大力推进空调制冷剂氟利昂的循环再利用。在全国范围内对氟利昂回收企业实行登记管理制度，保障作业统一标准，实现高效回收。目的是降低制冷剂进口对中国的依赖，强化本国经济安全保障</w:t>
      </w:r>
      <w:r>
        <w:rPr>
          <w:rFonts w:hint="eastAsia" w:ascii="仿宋_GB2312" w:hAnsi="仿宋_GB2312" w:eastAsia="仿宋_GB2312" w:cs="仿宋_GB2312"/>
          <w:b w:val="0"/>
          <w:bCs/>
          <w:sz w:val="32"/>
          <w:szCs w:val="32"/>
          <w:lang w:eastAsia="zh-CN"/>
        </w:rPr>
        <w:t>。</w:t>
      </w:r>
    </w:p>
    <w:p w14:paraId="0AC1A663">
      <w:pPr>
        <w:tabs>
          <w:tab w:val="left" w:pos="2604"/>
        </w:tabs>
        <w:ind w:firstLine="640" w:firstLineChars="200"/>
        <w:outlineLvl w:val="0"/>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rPr>
        <w:fldChar w:fldCharType="begin"/>
      </w:r>
      <w:r>
        <w:rPr>
          <w:rFonts w:hint="eastAsia" w:ascii="仿宋_GB2312" w:hAnsi="仿宋_GB2312" w:eastAsia="仿宋_GB2312" w:cs="仿宋_GB2312"/>
          <w:b w:val="0"/>
          <w:bCs/>
          <w:sz w:val="32"/>
          <w:szCs w:val="32"/>
        </w:rPr>
        <w:instrText xml:space="preserve"> HYPERLINK "https://cn.nikkei.com/industry/ienvironment/63009-2026-06-25-10-05-43.html" </w:instrText>
      </w:r>
      <w:r>
        <w:rPr>
          <w:rFonts w:hint="eastAsia" w:ascii="仿宋_GB2312" w:hAnsi="仿宋_GB2312" w:eastAsia="仿宋_GB2312" w:cs="仿宋_GB2312"/>
          <w:b w:val="0"/>
          <w:bCs/>
          <w:sz w:val="32"/>
          <w:szCs w:val="32"/>
        </w:rPr>
        <w:fldChar w:fldCharType="separate"/>
      </w:r>
      <w:r>
        <w:rPr>
          <w:rFonts w:hint="eastAsia" w:ascii="仿宋_GB2312" w:hAnsi="仿宋_GB2312" w:eastAsia="仿宋_GB2312" w:cs="仿宋_GB2312"/>
          <w:b w:val="0"/>
          <w:bCs/>
          <w:sz w:val="32"/>
          <w:szCs w:val="32"/>
        </w:rPr>
        <w:t>https://cn.nikkei.com/industry/ienvironment/63009-2026-06-25-10-05-43.html</w:t>
      </w:r>
      <w:r>
        <w:rPr>
          <w:rFonts w:hint="eastAsia" w:ascii="仿宋_GB2312" w:hAnsi="仿宋_GB2312" w:eastAsia="仿宋_GB2312" w:cs="仿宋_GB2312"/>
          <w:b w:val="0"/>
          <w:bCs/>
          <w:sz w:val="32"/>
          <w:szCs w:val="32"/>
        </w:rPr>
        <w:fldChar w:fldCharType="end"/>
      </w:r>
    </w:p>
    <w:p w14:paraId="41B40143">
      <w:pPr>
        <w:tabs>
          <w:tab w:val="left" w:pos="2604"/>
        </w:tabs>
        <w:ind w:firstLine="643" w:firstLineChars="200"/>
        <w:outlineLvl w:val="0"/>
        <w:rPr>
          <w:rFonts w:hint="eastAsia" w:ascii="仿宋_GB2312" w:hAnsi="仿宋_GB2312" w:eastAsia="仿宋_GB2312" w:cs="仿宋_GB2312"/>
          <w:b w:val="0"/>
          <w:bCs/>
          <w:sz w:val="32"/>
          <w:szCs w:val="32"/>
        </w:rPr>
      </w:pPr>
      <w:r>
        <w:rPr>
          <w:rFonts w:hint="eastAsia" w:ascii="仿宋_GB2312" w:hAnsi="仿宋_GB2312" w:eastAsia="仿宋_GB2312" w:cs="仿宋_GB2312"/>
          <w:b/>
          <w:sz w:val="32"/>
          <w:szCs w:val="32"/>
          <w:lang w:val="en-US" w:eastAsia="zh-CN"/>
        </w:rPr>
        <w:t>6</w:t>
      </w:r>
      <w:r>
        <w:rPr>
          <w:rFonts w:hint="eastAsia" w:ascii="仿宋_GB2312" w:hAnsi="仿宋_GB2312" w:eastAsia="仿宋_GB2312" w:cs="仿宋_GB2312"/>
          <w:b/>
          <w:sz w:val="32"/>
          <w:szCs w:val="32"/>
        </w:rPr>
        <w:t>.作为对贸易战的回应，中国物流网络在美国逐渐占据一席之地。</w:t>
      </w:r>
      <w:r>
        <w:rPr>
          <w:rFonts w:hint="eastAsia" w:ascii="仿宋_GB2312" w:hAnsi="仿宋_GB2312" w:eastAsia="仿宋_GB2312" w:cs="仿宋_GB2312"/>
          <w:b w:val="0"/>
          <w:bCs/>
          <w:sz w:val="32"/>
          <w:szCs w:val="32"/>
        </w:rPr>
        <w:t>6月25日，日经亚洲报道，据业内专家称，中国物流专家正在美国扩张，发展庞大的端到端分销网络，帮助其国内市场的商家降低成本并最大限度地减少关税风险。</w:t>
      </w:r>
    </w:p>
    <w:p w14:paraId="10D0AEB2">
      <w:pPr>
        <w:tabs>
          <w:tab w:val="left" w:pos="2604"/>
        </w:tabs>
        <w:ind w:firstLine="640" w:firstLineChars="200"/>
        <w:outlineLvl w:val="0"/>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rPr>
        <w:fldChar w:fldCharType="begin"/>
      </w:r>
      <w:r>
        <w:rPr>
          <w:rFonts w:hint="eastAsia" w:ascii="仿宋_GB2312" w:hAnsi="仿宋_GB2312" w:eastAsia="仿宋_GB2312" w:cs="仿宋_GB2312"/>
          <w:b w:val="0"/>
          <w:bCs/>
          <w:sz w:val="32"/>
          <w:szCs w:val="32"/>
        </w:rPr>
        <w:instrText xml:space="preserve"> HYPERLINK "https://asia.nikkei.com/economy/trade-war/chinese-logistics-networks-gain-ground-in-us-in-response-to-trade-war" </w:instrText>
      </w:r>
      <w:r>
        <w:rPr>
          <w:rFonts w:hint="eastAsia" w:ascii="仿宋_GB2312" w:hAnsi="仿宋_GB2312" w:eastAsia="仿宋_GB2312" w:cs="仿宋_GB2312"/>
          <w:b w:val="0"/>
          <w:bCs/>
          <w:sz w:val="32"/>
          <w:szCs w:val="32"/>
        </w:rPr>
        <w:fldChar w:fldCharType="separate"/>
      </w:r>
      <w:r>
        <w:rPr>
          <w:rFonts w:hint="eastAsia" w:ascii="仿宋_GB2312" w:hAnsi="仿宋_GB2312" w:eastAsia="仿宋_GB2312" w:cs="仿宋_GB2312"/>
          <w:b w:val="0"/>
          <w:bCs/>
          <w:sz w:val="32"/>
          <w:szCs w:val="32"/>
        </w:rPr>
        <w:t>https://asia.nikkei.com/economy/trade-war/chinese-logistics-networks-gain-ground-in-us-in-response-to-trade-war</w:t>
      </w:r>
      <w:r>
        <w:rPr>
          <w:rFonts w:hint="eastAsia" w:ascii="仿宋_GB2312" w:hAnsi="仿宋_GB2312" w:eastAsia="仿宋_GB2312" w:cs="仿宋_GB2312"/>
          <w:b w:val="0"/>
          <w:bCs/>
          <w:sz w:val="32"/>
          <w:szCs w:val="32"/>
        </w:rPr>
        <w:fldChar w:fldCharType="end"/>
      </w:r>
    </w:p>
    <w:p w14:paraId="127763D1">
      <w:pPr>
        <w:tabs>
          <w:tab w:val="left" w:pos="2604"/>
        </w:tabs>
        <w:ind w:firstLine="643" w:firstLineChars="200"/>
        <w:outlineLvl w:val="0"/>
        <w:rPr>
          <w:rFonts w:hint="eastAsia" w:ascii="仿宋_GB2312" w:hAnsi="仿宋_GB2312" w:eastAsia="仿宋_GB2312" w:cs="仿宋_GB2312"/>
          <w:b/>
          <w:sz w:val="32"/>
          <w:szCs w:val="32"/>
        </w:rPr>
      </w:pPr>
      <w:r>
        <w:rPr>
          <w:rFonts w:hint="eastAsia" w:ascii="仿宋_GB2312" w:hAnsi="仿宋_GB2312" w:eastAsia="仿宋_GB2312" w:cs="仿宋_GB2312"/>
          <w:b/>
          <w:sz w:val="32"/>
          <w:szCs w:val="32"/>
          <w:lang w:val="en-US" w:eastAsia="zh-CN"/>
        </w:rPr>
        <w:t>7</w:t>
      </w:r>
      <w:r>
        <w:rPr>
          <w:rFonts w:hint="eastAsia" w:ascii="仿宋_GB2312" w:hAnsi="仿宋_GB2312" w:eastAsia="仿宋_GB2312" w:cs="仿宋_GB2312"/>
          <w:b/>
          <w:sz w:val="32"/>
          <w:szCs w:val="32"/>
        </w:rPr>
        <w:t>.为什么中国货物经越南“绕道”运往美国最终失败。</w:t>
      </w:r>
      <w:r>
        <w:rPr>
          <w:rFonts w:hint="eastAsia" w:ascii="仿宋_GB2312" w:hAnsi="仿宋_GB2312" w:eastAsia="仿宋_GB2312" w:cs="仿宋_GB2312"/>
          <w:b w:val="0"/>
          <w:bCs/>
          <w:sz w:val="32"/>
          <w:szCs w:val="32"/>
        </w:rPr>
        <w:t>6月25日，《南华早报》报道，近十年前，中国最大的纺织品出口商之一制定了一项计划，以应对美国总统唐纳德·特朗普在其第一任期内推行的贸易壁垒。</w:t>
      </w:r>
    </w:p>
    <w:p w14:paraId="2B75F476">
      <w:pPr>
        <w:tabs>
          <w:tab w:val="left" w:pos="2604"/>
        </w:tabs>
        <w:ind w:firstLine="640" w:firstLineChars="200"/>
        <w:outlineLvl w:val="0"/>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rPr>
        <w:fldChar w:fldCharType="begin"/>
      </w:r>
      <w:r>
        <w:rPr>
          <w:rFonts w:hint="eastAsia" w:ascii="仿宋_GB2312" w:hAnsi="仿宋_GB2312" w:eastAsia="仿宋_GB2312" w:cs="仿宋_GB2312"/>
          <w:b w:val="0"/>
          <w:bCs/>
          <w:sz w:val="32"/>
          <w:szCs w:val="32"/>
        </w:rPr>
        <w:instrText xml:space="preserve"> HYPERLINK "https://www.scmp.com/economy/global-economy/article/3358194/why-vietnam-detour-us-bound-chinese-goods-hit-dead-end?pgtype=live" </w:instrText>
      </w:r>
      <w:r>
        <w:rPr>
          <w:rFonts w:hint="eastAsia" w:ascii="仿宋_GB2312" w:hAnsi="仿宋_GB2312" w:eastAsia="仿宋_GB2312" w:cs="仿宋_GB2312"/>
          <w:b w:val="0"/>
          <w:bCs/>
          <w:sz w:val="32"/>
          <w:szCs w:val="32"/>
        </w:rPr>
        <w:fldChar w:fldCharType="separate"/>
      </w:r>
      <w:r>
        <w:rPr>
          <w:rFonts w:hint="eastAsia" w:ascii="仿宋_GB2312" w:hAnsi="仿宋_GB2312" w:eastAsia="仿宋_GB2312" w:cs="仿宋_GB2312"/>
          <w:b w:val="0"/>
          <w:bCs/>
          <w:sz w:val="32"/>
          <w:szCs w:val="32"/>
        </w:rPr>
        <w:t>https://www.scmp.com/economy/global-economy/article/3358194/why-vietnam-detour-us-bound-chinese-goods-hit-dead-end?pgtype=live</w:t>
      </w:r>
      <w:r>
        <w:rPr>
          <w:rFonts w:hint="eastAsia" w:ascii="仿宋_GB2312" w:hAnsi="仿宋_GB2312" w:eastAsia="仿宋_GB2312" w:cs="仿宋_GB2312"/>
          <w:b w:val="0"/>
          <w:bCs/>
          <w:sz w:val="32"/>
          <w:szCs w:val="32"/>
        </w:rPr>
        <w:fldChar w:fldCharType="end"/>
      </w:r>
    </w:p>
    <w:p w14:paraId="436550B6">
      <w:pPr>
        <w:tabs>
          <w:tab w:val="left" w:pos="2604"/>
        </w:tabs>
        <w:outlineLvl w:val="0"/>
        <w:rPr>
          <w:rFonts w:ascii="仿宋_GB2312" w:eastAsia="仿宋_GB2312"/>
          <w:bCs/>
          <w:sz w:val="32"/>
          <w:szCs w:val="32"/>
        </w:rPr>
      </w:pPr>
    </w:p>
    <w:p w14:paraId="540BDAE6">
      <w:pPr>
        <w:ind w:firstLine="640" w:firstLineChars="200"/>
        <w:outlineLvl w:val="0"/>
        <w:rPr>
          <w:rFonts w:ascii="黑体" w:hAnsi="黑体" w:eastAsia="黑体" w:cs="黑体"/>
          <w:sz w:val="32"/>
          <w:szCs w:val="32"/>
        </w:rPr>
      </w:pPr>
      <w:r>
        <w:rPr>
          <w:rFonts w:hint="eastAsia" w:ascii="黑体" w:hAnsi="黑体" w:eastAsia="黑体" w:cs="黑体"/>
          <w:sz w:val="32"/>
          <w:szCs w:val="32"/>
        </w:rPr>
        <w:t>二、客观理性声音</w:t>
      </w:r>
    </w:p>
    <w:p w14:paraId="70B24271">
      <w:pPr>
        <w:widowControl w:val="0"/>
        <w:tabs>
          <w:tab w:val="left" w:pos="2604"/>
        </w:tabs>
        <w:spacing w:after="0" w:line="240" w:lineRule="auto"/>
        <w:ind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1.高通公司将根据美国出口限制规定，设计一款专为中国市场设计的数据中心芯片。</w:t>
      </w:r>
      <w:r>
        <w:rPr>
          <w:rFonts w:hint="eastAsia" w:ascii="仿宋_GB2312" w:hAnsi="仿宋_GB2312" w:eastAsia="仿宋_GB2312" w:cs="仿宋_GB2312"/>
          <w:bCs/>
          <w:kern w:val="2"/>
          <w:sz w:val="32"/>
          <w:szCs w:val="32"/>
          <w:lang w:val="en-US" w:eastAsia="zh-CN" w:bidi="ar-SA"/>
          <w14:ligatures w14:val="none"/>
        </w:rPr>
        <w:t>6月25日，日经亚洲报道，高通公司周三发布了其数据中心芯片产品线，成为最新一家加入人工智能处理器竞赛的芯片制造商，试图挑战市场领导者英伟达。</w:t>
      </w:r>
    </w:p>
    <w:p w14:paraId="7AC3323D">
      <w:pPr>
        <w:widowControl w:val="0"/>
        <w:tabs>
          <w:tab w:val="left" w:pos="2604"/>
        </w:tabs>
        <w:spacing w:after="0" w:line="240" w:lineRule="auto"/>
        <w:ind w:firstLine="640"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Cs/>
          <w:kern w:val="2"/>
          <w:sz w:val="32"/>
          <w:szCs w:val="32"/>
          <w:lang w:val="en-US" w:eastAsia="zh-CN" w:bidi="ar-SA"/>
          <w14:ligatures w14:val="none"/>
        </w:rPr>
        <w:fldChar w:fldCharType="begin"/>
      </w:r>
      <w:r>
        <w:rPr>
          <w:rFonts w:hint="eastAsia" w:ascii="仿宋_GB2312" w:hAnsi="仿宋_GB2312" w:eastAsia="仿宋_GB2312" w:cs="仿宋_GB2312"/>
          <w:bCs/>
          <w:kern w:val="2"/>
          <w:sz w:val="32"/>
          <w:szCs w:val="32"/>
          <w:lang w:val="en-US" w:eastAsia="zh-CN" w:bidi="ar-SA"/>
          <w14:ligatures w14:val="none"/>
        </w:rPr>
        <w:instrText xml:space="preserve"> HYPERLINK "https://asia.nikkei.com/business/technology/artificial-intelligence/qualcomm-to-design-china-specific-data-center-chip-in-line-with-us-export-curbs" </w:instrText>
      </w:r>
      <w:r>
        <w:rPr>
          <w:rFonts w:hint="eastAsia" w:ascii="仿宋_GB2312" w:hAnsi="仿宋_GB2312" w:eastAsia="仿宋_GB2312" w:cs="仿宋_GB2312"/>
          <w:bCs/>
          <w:kern w:val="2"/>
          <w:sz w:val="32"/>
          <w:szCs w:val="32"/>
          <w:lang w:val="en-US" w:eastAsia="zh-CN" w:bidi="ar-SA"/>
          <w14:ligatures w14:val="none"/>
        </w:rPr>
        <w:fldChar w:fldCharType="separate"/>
      </w:r>
      <w:r>
        <w:rPr>
          <w:rFonts w:hint="eastAsia" w:ascii="仿宋_GB2312" w:hAnsi="仿宋_GB2312" w:eastAsia="仿宋_GB2312" w:cs="仿宋_GB2312"/>
          <w:bCs/>
          <w:kern w:val="2"/>
          <w:sz w:val="32"/>
          <w:szCs w:val="32"/>
          <w:lang w:val="en-US" w:eastAsia="zh-CN" w:bidi="ar-SA"/>
          <w14:ligatures w14:val="none"/>
        </w:rPr>
        <w:t>https://asia.nikkei.com/business/technology/artificial-intelligence/qualcomm-to-design-china-specific-data-center-chip-in-line-with-us-export-curbs</w:t>
      </w:r>
      <w:r>
        <w:rPr>
          <w:rFonts w:hint="eastAsia" w:ascii="仿宋_GB2312" w:hAnsi="仿宋_GB2312" w:eastAsia="仿宋_GB2312" w:cs="仿宋_GB2312"/>
          <w:bCs/>
          <w:kern w:val="2"/>
          <w:sz w:val="32"/>
          <w:szCs w:val="32"/>
          <w:lang w:val="en-US" w:eastAsia="zh-CN" w:bidi="ar-SA"/>
          <w14:ligatures w14:val="none"/>
        </w:rPr>
        <w:fldChar w:fldCharType="end"/>
      </w:r>
    </w:p>
    <w:p w14:paraId="27D91820">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2.大变局下的“新中式”出海。</w:t>
      </w:r>
      <w:r>
        <w:rPr>
          <w:rFonts w:hint="eastAsia" w:ascii="仿宋_GB2312" w:hAnsi="仿宋_GB2312" w:eastAsia="仿宋_GB2312" w:cs="仿宋_GB2312"/>
          <w:bCs/>
          <w:kern w:val="2"/>
          <w:sz w:val="32"/>
          <w:szCs w:val="32"/>
          <w:lang w:val="en-US" w:eastAsia="zh-CN" w:bidi="ar-SA"/>
          <w14:ligatures w14:val="none"/>
        </w:rPr>
        <w:t>6月25日，FT中文网报道，2025年以来，全球政治经济格局经历了一场极限的“压力测试”：特朗普重返白宫后推行的“对等关税”政策、美国与盟友之间的关系变化、中美之间的全方位竞争、霍尔木兹海峡封锁引发的全球能源危机……这一系列复杂国际事件和国内房地产泡沫问题未决交织叠加，将中国的企业出海推向了前所未有的复杂境地。</w:t>
      </w:r>
    </w:p>
    <w:p w14:paraId="1A3983BE">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Cs/>
          <w:kern w:val="2"/>
          <w:sz w:val="32"/>
          <w:szCs w:val="32"/>
          <w:lang w:val="en-US" w:eastAsia="zh-CN" w:bidi="ar-SA"/>
          <w14:ligatures w14:val="none"/>
        </w:rPr>
        <w:fldChar w:fldCharType="begin"/>
      </w:r>
      <w:r>
        <w:rPr>
          <w:rFonts w:hint="eastAsia" w:ascii="仿宋_GB2312" w:hAnsi="仿宋_GB2312" w:eastAsia="仿宋_GB2312" w:cs="仿宋_GB2312"/>
          <w:bCs/>
          <w:kern w:val="2"/>
          <w:sz w:val="32"/>
          <w:szCs w:val="32"/>
          <w:lang w:val="en-US" w:eastAsia="zh-CN" w:bidi="ar-SA"/>
          <w14:ligatures w14:val="none"/>
        </w:rPr>
        <w:instrText xml:space="preserve"> HYPERLINK "https://www.ftchinese.com/story/001110120" </w:instrText>
      </w:r>
      <w:r>
        <w:rPr>
          <w:rFonts w:hint="eastAsia" w:ascii="仿宋_GB2312" w:hAnsi="仿宋_GB2312" w:eastAsia="仿宋_GB2312" w:cs="仿宋_GB2312"/>
          <w:bCs/>
          <w:kern w:val="2"/>
          <w:sz w:val="32"/>
          <w:szCs w:val="32"/>
          <w:lang w:val="en-US" w:eastAsia="zh-CN" w:bidi="ar-SA"/>
          <w14:ligatures w14:val="none"/>
        </w:rPr>
        <w:fldChar w:fldCharType="separate"/>
      </w:r>
      <w:r>
        <w:rPr>
          <w:rFonts w:hint="eastAsia" w:ascii="仿宋_GB2312" w:hAnsi="仿宋_GB2312" w:eastAsia="仿宋_GB2312" w:cs="仿宋_GB2312"/>
          <w:bCs/>
          <w:kern w:val="2"/>
          <w:sz w:val="32"/>
          <w:szCs w:val="32"/>
          <w:lang w:val="en-US" w:eastAsia="zh-CN" w:bidi="ar-SA"/>
          <w14:ligatures w14:val="none"/>
        </w:rPr>
        <w:t>https://www.ftchinese.com/story/001110120</w:t>
      </w:r>
      <w:r>
        <w:rPr>
          <w:rFonts w:hint="eastAsia" w:ascii="仿宋_GB2312" w:hAnsi="仿宋_GB2312" w:eastAsia="仿宋_GB2312" w:cs="仿宋_GB2312"/>
          <w:bCs/>
          <w:kern w:val="2"/>
          <w:sz w:val="32"/>
          <w:szCs w:val="32"/>
          <w:lang w:val="en-US" w:eastAsia="zh-CN" w:bidi="ar-SA"/>
          <w14:ligatures w14:val="none"/>
        </w:rPr>
        <w:fldChar w:fldCharType="end"/>
      </w:r>
    </w:p>
    <w:p w14:paraId="78297E30">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3.不止EV，中国发动机也在猛追日本。</w:t>
      </w:r>
      <w:r>
        <w:rPr>
          <w:rFonts w:hint="eastAsia" w:ascii="仿宋_GB2312" w:hAnsi="仿宋_GB2312" w:eastAsia="仿宋_GB2312" w:cs="仿宋_GB2312"/>
          <w:bCs/>
          <w:kern w:val="2"/>
          <w:sz w:val="32"/>
          <w:szCs w:val="32"/>
          <w:lang w:val="en-US" w:eastAsia="zh-CN" w:bidi="ar-SA"/>
          <w14:ligatures w14:val="none"/>
        </w:rPr>
        <w:t>6月25日，日经中文网报道，中国大型汽车企业正在发动机技术领域猛追日本企业。奇瑞汽车方面表示，其在将燃料转换为动力的效率方面已达到全球最高水平。</w:t>
      </w:r>
    </w:p>
    <w:p w14:paraId="68377F6C">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Cs/>
          <w:kern w:val="2"/>
          <w:sz w:val="32"/>
          <w:szCs w:val="32"/>
          <w:lang w:val="en-US" w:eastAsia="zh-CN" w:bidi="ar-SA"/>
          <w14:ligatures w14:val="none"/>
        </w:rPr>
        <w:fldChar w:fldCharType="begin"/>
      </w:r>
      <w:r>
        <w:rPr>
          <w:rFonts w:hint="eastAsia" w:ascii="仿宋_GB2312" w:hAnsi="仿宋_GB2312" w:eastAsia="仿宋_GB2312" w:cs="仿宋_GB2312"/>
          <w:bCs/>
          <w:kern w:val="2"/>
          <w:sz w:val="32"/>
          <w:szCs w:val="32"/>
          <w:lang w:val="en-US" w:eastAsia="zh-CN" w:bidi="ar-SA"/>
          <w14:ligatures w14:val="none"/>
        </w:rPr>
        <w:instrText xml:space="preserve"> HYPERLINK "https://cn.nikkei.com/china/ccompany/62999-2026-06-25-05-00-52.html" </w:instrText>
      </w:r>
      <w:r>
        <w:rPr>
          <w:rFonts w:hint="eastAsia" w:ascii="仿宋_GB2312" w:hAnsi="仿宋_GB2312" w:eastAsia="仿宋_GB2312" w:cs="仿宋_GB2312"/>
          <w:bCs/>
          <w:kern w:val="2"/>
          <w:sz w:val="32"/>
          <w:szCs w:val="32"/>
          <w:lang w:val="en-US" w:eastAsia="zh-CN" w:bidi="ar-SA"/>
          <w14:ligatures w14:val="none"/>
        </w:rPr>
        <w:fldChar w:fldCharType="separate"/>
      </w:r>
      <w:r>
        <w:rPr>
          <w:rFonts w:hint="eastAsia" w:ascii="仿宋_GB2312" w:hAnsi="仿宋_GB2312" w:eastAsia="仿宋_GB2312" w:cs="仿宋_GB2312"/>
          <w:bCs/>
          <w:kern w:val="2"/>
          <w:sz w:val="32"/>
          <w:szCs w:val="32"/>
          <w:lang w:val="en-US" w:eastAsia="zh-CN" w:bidi="ar-SA"/>
          <w14:ligatures w14:val="none"/>
        </w:rPr>
        <w:t>https://cn.nikkei.com/china/ccompany/62999-2026-06-25-05-00-52.html</w:t>
      </w:r>
      <w:r>
        <w:rPr>
          <w:rFonts w:hint="eastAsia" w:ascii="仿宋_GB2312" w:hAnsi="仿宋_GB2312" w:eastAsia="仿宋_GB2312" w:cs="仿宋_GB2312"/>
          <w:bCs/>
          <w:kern w:val="2"/>
          <w:sz w:val="32"/>
          <w:szCs w:val="32"/>
          <w:lang w:val="en-US" w:eastAsia="zh-CN" w:bidi="ar-SA"/>
          <w14:ligatures w14:val="none"/>
        </w:rPr>
        <w:fldChar w:fldCharType="end"/>
      </w:r>
    </w:p>
    <w:p w14:paraId="349E9199">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4.巴西计划发行规模最大的熊猫债券以“试探”市场反应。</w:t>
      </w:r>
      <w:r>
        <w:rPr>
          <w:rFonts w:hint="eastAsia" w:ascii="仿宋_GB2312" w:hAnsi="仿宋_GB2312" w:eastAsia="仿宋_GB2312" w:cs="仿宋_GB2312"/>
          <w:bCs/>
          <w:kern w:val="2"/>
          <w:sz w:val="32"/>
          <w:szCs w:val="32"/>
          <w:lang w:val="en-US" w:eastAsia="zh-CN" w:bidi="ar-SA"/>
          <w14:ligatures w14:val="none"/>
        </w:rPr>
        <w:t>6月25日，路透社报道，巴西财政部长达里奥·杜里甘周四告诉路透社，巴西计划首次发行熊猫债券，筹集至多50亿元人民币（7.35亿美元），这将是外国在中国发行的最大规模人民币债券。</w:t>
      </w:r>
    </w:p>
    <w:p w14:paraId="0B2D4D05">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Cs/>
          <w:kern w:val="2"/>
          <w:sz w:val="32"/>
          <w:szCs w:val="32"/>
          <w:lang w:val="en-US" w:eastAsia="zh-CN" w:bidi="ar-SA"/>
          <w14:ligatures w14:val="none"/>
        </w:rPr>
        <w:fldChar w:fldCharType="begin"/>
      </w:r>
      <w:r>
        <w:rPr>
          <w:rFonts w:hint="eastAsia" w:ascii="仿宋_GB2312" w:hAnsi="仿宋_GB2312" w:eastAsia="仿宋_GB2312" w:cs="仿宋_GB2312"/>
          <w:bCs/>
          <w:kern w:val="2"/>
          <w:sz w:val="32"/>
          <w:szCs w:val="32"/>
          <w:lang w:val="en-US" w:eastAsia="zh-CN" w:bidi="ar-SA"/>
          <w14:ligatures w14:val="none"/>
        </w:rPr>
        <w:instrText xml:space="preserve"> HYPERLINK "https://www.reuters.com/world/americas/brazil-plans-up-5-billion-yuan-panda-bond-issuance-says-finance-minister-2026-06-25/" </w:instrText>
      </w:r>
      <w:r>
        <w:rPr>
          <w:rFonts w:hint="eastAsia" w:ascii="仿宋_GB2312" w:hAnsi="仿宋_GB2312" w:eastAsia="仿宋_GB2312" w:cs="仿宋_GB2312"/>
          <w:bCs/>
          <w:kern w:val="2"/>
          <w:sz w:val="32"/>
          <w:szCs w:val="32"/>
          <w:lang w:val="en-US" w:eastAsia="zh-CN" w:bidi="ar-SA"/>
          <w14:ligatures w14:val="none"/>
        </w:rPr>
        <w:fldChar w:fldCharType="separate"/>
      </w:r>
      <w:r>
        <w:rPr>
          <w:rFonts w:hint="eastAsia" w:ascii="仿宋_GB2312" w:hAnsi="仿宋_GB2312" w:eastAsia="仿宋_GB2312" w:cs="仿宋_GB2312"/>
          <w:bCs/>
          <w:kern w:val="2"/>
          <w:sz w:val="32"/>
          <w:szCs w:val="32"/>
          <w:lang w:val="en-US" w:eastAsia="zh-CN" w:bidi="ar-SA"/>
          <w14:ligatures w14:val="none"/>
        </w:rPr>
        <w:t>https://www.reuters.com/world/americas/brazil-plans-up-5-billion-yuan-panda-bond-issuance-says-finance-minister-2026-06-25/</w:t>
      </w:r>
      <w:r>
        <w:rPr>
          <w:rFonts w:hint="eastAsia" w:ascii="仿宋_GB2312" w:hAnsi="仿宋_GB2312" w:eastAsia="仿宋_GB2312" w:cs="仿宋_GB2312"/>
          <w:bCs/>
          <w:kern w:val="2"/>
          <w:sz w:val="32"/>
          <w:szCs w:val="32"/>
          <w:lang w:val="en-US" w:eastAsia="zh-CN" w:bidi="ar-SA"/>
          <w14:ligatures w14:val="none"/>
        </w:rPr>
        <w:fldChar w:fldCharType="end"/>
      </w:r>
    </w:p>
    <w:p w14:paraId="7CB518F6">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5.中国的抖音、微信和小红书正在改写营销规则。</w:t>
      </w:r>
      <w:r>
        <w:rPr>
          <w:rFonts w:hint="eastAsia" w:ascii="仿宋_GB2312" w:hAnsi="仿宋_GB2312" w:eastAsia="仿宋_GB2312" w:cs="仿宋_GB2312"/>
          <w:bCs/>
          <w:kern w:val="2"/>
          <w:sz w:val="32"/>
          <w:szCs w:val="32"/>
          <w:lang w:val="en-US" w:eastAsia="zh-CN" w:bidi="ar-SA"/>
          <w14:ligatures w14:val="none"/>
        </w:rPr>
        <w:t>6月25日，《南华早报》报道，对中国消费者而言，从“想要”到“购买”往往只需一次滑动屏幕即可完成。</w:t>
      </w:r>
    </w:p>
    <w:p w14:paraId="2A5331AE">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Cs/>
          <w:kern w:val="2"/>
          <w:sz w:val="32"/>
          <w:szCs w:val="32"/>
          <w:lang w:val="en-US" w:eastAsia="zh-CN" w:bidi="ar-SA"/>
          <w14:ligatures w14:val="none"/>
        </w:rPr>
        <w:fldChar w:fldCharType="begin"/>
      </w:r>
      <w:r>
        <w:rPr>
          <w:rFonts w:hint="eastAsia" w:ascii="仿宋_GB2312" w:hAnsi="仿宋_GB2312" w:eastAsia="仿宋_GB2312" w:cs="仿宋_GB2312"/>
          <w:bCs/>
          <w:kern w:val="2"/>
          <w:sz w:val="32"/>
          <w:szCs w:val="32"/>
          <w:lang w:val="en-US" w:eastAsia="zh-CN" w:bidi="ar-SA"/>
          <w14:ligatures w14:val="none"/>
        </w:rPr>
        <w:instrText xml:space="preserve"> HYPERLINK "https://www.scmp.com/special-reports/article/3358153/chinas-douyin-wechat-and-rednote-are-rewriting-marketing-rules?pgtype=live" </w:instrText>
      </w:r>
      <w:r>
        <w:rPr>
          <w:rFonts w:hint="eastAsia" w:ascii="仿宋_GB2312" w:hAnsi="仿宋_GB2312" w:eastAsia="仿宋_GB2312" w:cs="仿宋_GB2312"/>
          <w:bCs/>
          <w:kern w:val="2"/>
          <w:sz w:val="32"/>
          <w:szCs w:val="32"/>
          <w:lang w:val="en-US" w:eastAsia="zh-CN" w:bidi="ar-SA"/>
          <w14:ligatures w14:val="none"/>
        </w:rPr>
        <w:fldChar w:fldCharType="separate"/>
      </w:r>
      <w:r>
        <w:rPr>
          <w:rFonts w:hint="eastAsia" w:ascii="仿宋_GB2312" w:hAnsi="仿宋_GB2312" w:eastAsia="仿宋_GB2312" w:cs="仿宋_GB2312"/>
          <w:bCs/>
          <w:kern w:val="2"/>
          <w:sz w:val="32"/>
          <w:szCs w:val="32"/>
          <w:lang w:val="en-US" w:eastAsia="zh-CN" w:bidi="ar-SA"/>
          <w14:ligatures w14:val="none"/>
        </w:rPr>
        <w:t>https://www.scmp.com/special-reports/article/3358153/chinas-douyin-wechat-and-rednote-are-rewriting-marketing-rules?pgtype=live</w:t>
      </w:r>
      <w:r>
        <w:rPr>
          <w:rFonts w:hint="eastAsia" w:ascii="仿宋_GB2312" w:hAnsi="仿宋_GB2312" w:eastAsia="仿宋_GB2312" w:cs="仿宋_GB2312"/>
          <w:bCs/>
          <w:kern w:val="2"/>
          <w:sz w:val="32"/>
          <w:szCs w:val="32"/>
          <w:lang w:val="en-US" w:eastAsia="zh-CN" w:bidi="ar-SA"/>
          <w14:ligatures w14:val="none"/>
        </w:rPr>
        <w:fldChar w:fldCharType="end"/>
      </w:r>
    </w:p>
    <w:p w14:paraId="17B52F53">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6.</w:t>
      </w:r>
      <w:r>
        <w:rPr>
          <w:rFonts w:hint="eastAsia" w:ascii="仿宋_GB2312" w:hAnsi="仿宋_GB2312" w:eastAsia="仿宋_GB2312" w:cs="仿宋_GB2312"/>
          <w:b/>
          <w:bCs w:val="0"/>
          <w:kern w:val="2"/>
          <w:sz w:val="32"/>
          <w:szCs w:val="32"/>
          <w:lang w:val="en-US" w:eastAsia="zh-CN" w:bidi="ar-SA"/>
          <w14:ligatures w14:val="none"/>
        </w:rPr>
        <w:t>联合国：中国“有望在全球人类和地球健康目标方面超越美国”。</w:t>
      </w:r>
      <w:r>
        <w:rPr>
          <w:rFonts w:hint="eastAsia" w:ascii="仿宋_GB2312" w:hAnsi="仿宋_GB2312" w:eastAsia="仿宋_GB2312" w:cs="仿宋_GB2312"/>
          <w:bCs/>
          <w:kern w:val="2"/>
          <w:sz w:val="32"/>
          <w:szCs w:val="32"/>
          <w:lang w:val="en-US" w:eastAsia="zh-CN" w:bidi="ar-SA"/>
          <w14:ligatures w14:val="none"/>
        </w:rPr>
        <w:t>6月25日，《南华早报》报道，联合国一份新报告称，中国在消除贫困和保护地球方面“有望超越美国”。</w:t>
      </w:r>
    </w:p>
    <w:p w14:paraId="682A58C2">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Cs/>
          <w:kern w:val="2"/>
          <w:sz w:val="32"/>
          <w:szCs w:val="32"/>
          <w:lang w:val="en-US" w:eastAsia="zh-CN" w:bidi="ar-SA"/>
          <w14:ligatures w14:val="none"/>
        </w:rPr>
        <w:fldChar w:fldCharType="begin"/>
      </w:r>
      <w:r>
        <w:rPr>
          <w:rFonts w:hint="eastAsia" w:ascii="仿宋_GB2312" w:hAnsi="仿宋_GB2312" w:eastAsia="仿宋_GB2312" w:cs="仿宋_GB2312"/>
          <w:bCs/>
          <w:kern w:val="2"/>
          <w:sz w:val="32"/>
          <w:szCs w:val="32"/>
          <w:lang w:val="en-US" w:eastAsia="zh-CN" w:bidi="ar-SA"/>
          <w14:ligatures w14:val="none"/>
        </w:rPr>
        <w:instrText xml:space="preserve"> HYPERLINK "https://www.scmp.com/news/china/science/article/3358349/china-track-surpass-united-states-global-goals-human-planet-health-un?pgtype=live" </w:instrText>
      </w:r>
      <w:r>
        <w:rPr>
          <w:rFonts w:hint="eastAsia" w:ascii="仿宋_GB2312" w:hAnsi="仿宋_GB2312" w:eastAsia="仿宋_GB2312" w:cs="仿宋_GB2312"/>
          <w:bCs/>
          <w:kern w:val="2"/>
          <w:sz w:val="32"/>
          <w:szCs w:val="32"/>
          <w:lang w:val="en-US" w:eastAsia="zh-CN" w:bidi="ar-SA"/>
          <w14:ligatures w14:val="none"/>
        </w:rPr>
        <w:fldChar w:fldCharType="separate"/>
      </w:r>
      <w:r>
        <w:rPr>
          <w:rFonts w:hint="eastAsia" w:ascii="仿宋_GB2312" w:hAnsi="仿宋_GB2312" w:eastAsia="仿宋_GB2312" w:cs="仿宋_GB2312"/>
          <w:bCs/>
          <w:kern w:val="2"/>
          <w:sz w:val="32"/>
          <w:szCs w:val="32"/>
          <w:lang w:val="en-US" w:eastAsia="zh-CN" w:bidi="ar-SA"/>
          <w14:ligatures w14:val="none"/>
        </w:rPr>
        <w:t>https://www.scmp.com/news/china/science/article/3358349/china-track-surpass-united-states-global-goals-human-planet-health-un?pgtype=live</w:t>
      </w:r>
      <w:r>
        <w:rPr>
          <w:rFonts w:hint="eastAsia" w:ascii="仿宋_GB2312" w:hAnsi="仿宋_GB2312" w:eastAsia="仿宋_GB2312" w:cs="仿宋_GB2312"/>
          <w:bCs/>
          <w:kern w:val="2"/>
          <w:sz w:val="32"/>
          <w:szCs w:val="32"/>
          <w:lang w:val="en-US" w:eastAsia="zh-CN" w:bidi="ar-SA"/>
          <w14:ligatures w14:val="none"/>
        </w:rPr>
        <w:fldChar w:fldCharType="end"/>
      </w:r>
    </w:p>
    <w:p w14:paraId="050BAA04">
      <w:pPr>
        <w:ind w:firstLine="640" w:firstLineChars="200"/>
        <w:outlineLvl w:val="0"/>
        <w:rPr>
          <w:rFonts w:ascii="仿宋_GB2312" w:eastAsia="仿宋_GB2312"/>
          <w:bCs/>
          <w:sz w:val="32"/>
          <w:szCs w:val="32"/>
        </w:rPr>
      </w:pPr>
    </w:p>
    <w:p w14:paraId="6BD4143C">
      <w:pPr>
        <w:ind w:firstLine="640" w:firstLineChars="200"/>
        <w:outlineLvl w:val="0"/>
        <w:rPr>
          <w:rFonts w:ascii="黑体" w:hAnsi="黑体" w:eastAsia="黑体" w:cs="黑体"/>
          <w:sz w:val="32"/>
          <w:szCs w:val="32"/>
        </w:rPr>
      </w:pPr>
      <w:r>
        <w:rPr>
          <w:rFonts w:hint="eastAsia" w:ascii="黑体" w:hAnsi="黑体" w:eastAsia="黑体" w:cs="黑体"/>
          <w:sz w:val="32"/>
          <w:szCs w:val="32"/>
        </w:rPr>
        <w:t>三、美西方内部批评反思文章</w:t>
      </w:r>
    </w:p>
    <w:p w14:paraId="6FE2D5DD">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1.艾睿铂称，中国在全球汽车产业中占据主导地位。</w:t>
      </w:r>
      <w:r>
        <w:rPr>
          <w:rFonts w:hint="eastAsia" w:ascii="仿宋_GB2312" w:hAnsi="仿宋_GB2312" w:eastAsia="仿宋_GB2312" w:cs="仿宋_GB2312"/>
          <w:bCs/>
          <w:kern w:val="2"/>
          <w:sz w:val="32"/>
          <w:szCs w:val="32"/>
          <w:lang w:val="en-US" w:eastAsia="zh-CN" w:bidi="ar-SA"/>
          <w14:ligatures w14:val="none"/>
        </w:rPr>
        <w:t>6月25日，福布斯报道，咨询公司艾睿铂（AlixPartners）在一份年度报告中表示，尽管中国汽车行业在国内销量下滑，但它仍然对世界汽车行业构成威胁。</w:t>
      </w:r>
    </w:p>
    <w:p w14:paraId="6B38E8A0">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b/>
          <w:sz w:val="32"/>
          <w:szCs w:val="32"/>
        </w:rPr>
      </w:pPr>
      <w:r>
        <w:rPr>
          <w:rFonts w:hint="eastAsia" w:ascii="仿宋_GB2312" w:hAnsi="仿宋_GB2312" w:eastAsia="仿宋_GB2312" w:cs="仿宋_GB2312"/>
          <w:bCs/>
          <w:kern w:val="2"/>
          <w:sz w:val="32"/>
          <w:szCs w:val="32"/>
          <w:lang w:val="en-US" w:eastAsia="zh-CN" w:bidi="ar-SA"/>
          <w14:ligatures w14:val="none"/>
        </w:rPr>
        <w:t>https://www.forbes.com/sites/billkoenig/2026/06/25/china-overshadows-global-automotive-industry-alixpartners-says/</w:t>
      </w:r>
    </w:p>
    <w:p w14:paraId="5358E524">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2.中国芯片出口额暴增110%，是否意味西方“封锁失败”？</w:t>
      </w:r>
      <w:r>
        <w:rPr>
          <w:rFonts w:hint="eastAsia" w:ascii="仿宋_GB2312" w:hAnsi="仿宋_GB2312" w:eastAsia="仿宋_GB2312" w:cs="仿宋_GB2312"/>
          <w:b w:val="0"/>
          <w:bCs/>
          <w:kern w:val="2"/>
          <w:sz w:val="32"/>
          <w:szCs w:val="32"/>
          <w:lang w:val="en-US" w:eastAsia="zh-CN" w:bidi="ar-SA"/>
          <w14:ligatures w14:val="none"/>
        </w:rPr>
        <w:t>6月25日，BBC报道，“去年我国第一大出口产品为芯片。”</w:t>
      </w:r>
      <w:r>
        <w:rPr>
          <w:rFonts w:hint="eastAsia" w:ascii="仿宋_GB2312" w:hAnsi="仿宋_GB2312" w:eastAsia="仿宋_GB2312" w:cs="仿宋_GB2312"/>
          <w:bCs/>
          <w:kern w:val="2"/>
          <w:sz w:val="32"/>
          <w:szCs w:val="32"/>
          <w:lang w:val="en-US" w:eastAsia="zh-CN" w:bidi="ar-SA"/>
          <w14:ligatures w14:val="none"/>
        </w:rPr>
        <w:t>前重庆市长黄奇帆在一场公开演讲的言论，在社交媒体上引起的反应几乎是即时的：“封锁失败”、“芯片逆袭”的叙事铺天盖地，仿佛一夜之间，被西方封堵的问题已经翻篇。</w:t>
      </w:r>
    </w:p>
    <w:p w14:paraId="54908D1C">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b/>
          <w:sz w:val="32"/>
          <w:szCs w:val="32"/>
        </w:rPr>
      </w:pPr>
      <w:r>
        <w:rPr>
          <w:rFonts w:hint="eastAsia" w:ascii="仿宋_GB2312" w:hAnsi="仿宋_GB2312" w:eastAsia="仿宋_GB2312" w:cs="仿宋_GB2312"/>
          <w:bCs/>
          <w:kern w:val="2"/>
          <w:sz w:val="32"/>
          <w:szCs w:val="32"/>
          <w:lang w:val="en-US" w:eastAsia="zh-CN" w:bidi="ar-SA"/>
          <w14:ligatures w14:val="none"/>
        </w:rPr>
        <w:t>https://www.bbc.com/zhongwen/articles/cg4w2n5ql32o/simp</w:t>
      </w:r>
    </w:p>
    <w:p w14:paraId="42F06017">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3.</w:t>
      </w:r>
      <w:r>
        <w:rPr>
          <w:rFonts w:hint="eastAsia" w:ascii="仿宋_GB2312" w:hAnsi="仿宋_GB2312" w:eastAsia="仿宋_GB2312" w:cs="仿宋_GB2312"/>
          <w:b/>
          <w:bCs w:val="0"/>
          <w:kern w:val="2"/>
          <w:sz w:val="32"/>
          <w:szCs w:val="32"/>
          <w:lang w:val="en-US" w:eastAsia="zh-CN" w:bidi="ar-SA"/>
          <w14:ligatures w14:val="none"/>
        </w:rPr>
        <w:t>特朗普“旋风一日”震惊共和党人：取消法案签字、痛斥议员、指责欧洲盟友。</w:t>
      </w:r>
      <w:r>
        <w:rPr>
          <w:rFonts w:hint="eastAsia" w:ascii="仿宋_GB2312" w:hAnsi="仿宋_GB2312" w:eastAsia="仿宋_GB2312" w:cs="仿宋_GB2312"/>
          <w:bCs/>
          <w:kern w:val="2"/>
          <w:sz w:val="32"/>
          <w:szCs w:val="32"/>
          <w:lang w:val="en-US" w:eastAsia="zh-CN" w:bidi="ar-SA"/>
          <w14:ligatures w14:val="none"/>
        </w:rPr>
        <w:t>6月25日，《华尔街日报》报道，周三凌晨2点38分，美国总统特朗普发表了一番大多数共和党政界人士都能拥护的政治攻击言论。</w:t>
      </w:r>
    </w:p>
    <w:p w14:paraId="7936EE9D">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b/>
          <w:sz w:val="32"/>
          <w:szCs w:val="32"/>
        </w:rPr>
      </w:pPr>
      <w:r>
        <w:rPr>
          <w:rFonts w:hint="eastAsia" w:ascii="仿宋_GB2312" w:hAnsi="仿宋_GB2312" w:eastAsia="仿宋_GB2312" w:cs="仿宋_GB2312"/>
          <w:bCs/>
          <w:kern w:val="2"/>
          <w:sz w:val="32"/>
          <w:szCs w:val="32"/>
          <w:lang w:val="en-US" w:eastAsia="zh-CN" w:bidi="ar-SA"/>
          <w14:ligatures w14:val="none"/>
        </w:rPr>
        <w:t>https://cn.wsj.com/articles/trump-stuns-republicans-with-whirlwind-day-of-frustration-and-finger-pointing-8a1f5df1</w:t>
      </w:r>
    </w:p>
    <w:p w14:paraId="14849ADF">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4.世界法院法官就制裁问题起诉特朗普政府。</w:t>
      </w:r>
      <w:r>
        <w:rPr>
          <w:rFonts w:hint="eastAsia" w:ascii="仿宋_GB2312" w:hAnsi="仿宋_GB2312" w:eastAsia="仿宋_GB2312" w:cs="仿宋_GB2312"/>
          <w:bCs/>
          <w:kern w:val="2"/>
          <w:sz w:val="32"/>
          <w:szCs w:val="32"/>
          <w:lang w:val="en-US" w:eastAsia="zh-CN" w:bidi="ar-SA"/>
          <w14:ligatures w14:val="none"/>
        </w:rPr>
        <w:t>6月25日，路透社报道，三名国际刑事法院法官周三起诉美国总统唐纳德·特朗普及其政府，指控其去年对他们实施的制裁是非法的。</w:t>
      </w:r>
    </w:p>
    <w:p w14:paraId="22728BE0">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b/>
          <w:sz w:val="32"/>
          <w:szCs w:val="32"/>
        </w:rPr>
      </w:pPr>
      <w:r>
        <w:rPr>
          <w:rFonts w:hint="eastAsia" w:ascii="仿宋_GB2312" w:hAnsi="仿宋_GB2312" w:eastAsia="仿宋_GB2312" w:cs="仿宋_GB2312"/>
          <w:bCs/>
          <w:kern w:val="2"/>
          <w:sz w:val="32"/>
          <w:szCs w:val="32"/>
          <w:lang w:val="en-US" w:eastAsia="zh-CN" w:bidi="ar-SA"/>
          <w14:ligatures w14:val="none"/>
        </w:rPr>
        <w:t>https://www.reuters.com/legal/litigation/world-court-judges-sue-trump-administration-over-sanctions-2026-06-24/</w:t>
      </w:r>
    </w:p>
    <w:p w14:paraId="1EE04E45">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5.美国寻求与欧盟在监管和供应链方面建立AI伙伴关系。</w:t>
      </w:r>
      <w:r>
        <w:rPr>
          <w:rFonts w:hint="eastAsia" w:ascii="仿宋_GB2312" w:hAnsi="仿宋_GB2312" w:eastAsia="仿宋_GB2312" w:cs="仿宋_GB2312"/>
          <w:bCs/>
          <w:kern w:val="2"/>
          <w:sz w:val="32"/>
          <w:szCs w:val="32"/>
          <w:lang w:val="en-US" w:eastAsia="zh-CN" w:bidi="ar-SA"/>
          <w14:ligatures w14:val="none"/>
        </w:rPr>
        <w:t>6月25日，彭博社报道，美国已提议欧盟签署一项人工智能伙伴关系，作为建立联盟以保障半导体供应链安全的努力的一部分，因为与中国的竞争日益加剧。</w:t>
      </w:r>
    </w:p>
    <w:p w14:paraId="7A9AE0DD">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b/>
          <w:sz w:val="32"/>
          <w:szCs w:val="32"/>
        </w:rPr>
      </w:pPr>
      <w:r>
        <w:rPr>
          <w:rFonts w:hint="eastAsia" w:ascii="仿宋_GB2312" w:hAnsi="仿宋_GB2312" w:eastAsia="仿宋_GB2312" w:cs="仿宋_GB2312"/>
          <w:bCs/>
          <w:kern w:val="2"/>
          <w:sz w:val="32"/>
          <w:szCs w:val="32"/>
          <w:lang w:val="en-US" w:eastAsia="zh-CN" w:bidi="ar-SA"/>
          <w14:ligatures w14:val="none"/>
        </w:rPr>
        <w:t>https://www.bloomberg.com/news/articles/2026-06-25/us-seeks-ai-partnership-with-eu-on-regulation-supply-chains</w:t>
      </w:r>
    </w:p>
    <w:p w14:paraId="3DC7448C">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6.达沃斯夏季论坛揭示了西方对中国的盲点。</w:t>
      </w:r>
      <w:r>
        <w:rPr>
          <w:rFonts w:hint="eastAsia" w:ascii="仿宋_GB2312" w:hAnsi="仿宋_GB2312" w:eastAsia="仿宋_GB2312" w:cs="仿宋_GB2312"/>
          <w:bCs/>
          <w:kern w:val="2"/>
          <w:sz w:val="32"/>
          <w:szCs w:val="32"/>
          <w:lang w:val="en-US" w:eastAsia="zh-CN" w:bidi="ar-SA"/>
          <w14:ligatures w14:val="none"/>
        </w:rPr>
        <w:t>6月25日，《观察家报》报道，几十年来，西方企业高管一直从机遇和风险的角度分析中国市场。然而，这两种视角都忽略了同一个现实：中国是一个文化底蕴深厚的商业环境，在这里，文化智能可以成为决定性的竞争优势。</w:t>
      </w:r>
    </w:p>
    <w:p w14:paraId="43ECB3F7">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b/>
          <w:sz w:val="32"/>
          <w:szCs w:val="32"/>
        </w:rPr>
      </w:pPr>
      <w:r>
        <w:rPr>
          <w:rFonts w:hint="eastAsia" w:ascii="仿宋_GB2312" w:hAnsi="仿宋_GB2312" w:eastAsia="仿宋_GB2312" w:cs="仿宋_GB2312"/>
          <w:bCs/>
          <w:kern w:val="2"/>
          <w:sz w:val="32"/>
          <w:szCs w:val="32"/>
          <w:lang w:val="en-US" w:eastAsia="zh-CN" w:bidi="ar-SA"/>
          <w14:ligatures w14:val="none"/>
        </w:rPr>
        <w:t>https://observer.com/2026/06/summer-davos-china-cultural-intelligence/</w:t>
      </w:r>
    </w:p>
    <w:p w14:paraId="71063CA0">
      <w:pPr>
        <w:widowControl w:val="0"/>
        <w:tabs>
          <w:tab w:val="left" w:pos="2604"/>
        </w:tabs>
        <w:spacing w:after="0" w:line="240" w:lineRule="auto"/>
        <w:ind w:left="0" w:leftChars="0" w:firstLine="643" w:firstLineChars="200"/>
        <w:jc w:val="both"/>
        <w:outlineLvl w:val="0"/>
        <w:rPr>
          <w:rFonts w:hint="eastAsia" w:ascii="仿宋_GB2312" w:hAnsi="仿宋_GB2312" w:eastAsia="仿宋_GB2312" w:cs="仿宋_GB2312"/>
          <w:bCs/>
          <w:kern w:val="2"/>
          <w:sz w:val="32"/>
          <w:szCs w:val="32"/>
          <w:lang w:val="en-US" w:eastAsia="zh-CN" w:bidi="ar-SA"/>
          <w14:ligatures w14:val="none"/>
        </w:rPr>
      </w:pPr>
      <w:r>
        <w:rPr>
          <w:rFonts w:hint="eastAsia" w:ascii="仿宋_GB2312" w:hAnsi="仿宋_GB2312" w:eastAsia="仿宋_GB2312" w:cs="仿宋_GB2312"/>
          <w:b/>
          <w:kern w:val="2"/>
          <w:sz w:val="32"/>
          <w:szCs w:val="32"/>
          <w:lang w:val="en-US" w:eastAsia="zh-CN" w:bidi="ar-SA"/>
          <w14:ligatures w14:val="none"/>
        </w:rPr>
        <w:t>7.重塑美中人工智能竞赛格局的，不是技术，而是人才。</w:t>
      </w:r>
      <w:r>
        <w:rPr>
          <w:rFonts w:hint="eastAsia" w:ascii="仿宋_GB2312" w:hAnsi="仿宋_GB2312" w:eastAsia="仿宋_GB2312" w:cs="仿宋_GB2312"/>
          <w:bCs/>
          <w:kern w:val="2"/>
          <w:sz w:val="32"/>
          <w:szCs w:val="32"/>
          <w:lang w:val="en-US" w:eastAsia="zh-CN" w:bidi="ar-SA"/>
          <w14:ligatures w14:val="none"/>
        </w:rPr>
        <w:t>6月25日，亚洲新闻台报道，2018年，当王伟离开硅谷的苹果公司时，他并没有去追逐下一个科技创业项目。他当时正在寻找一个可以建造硬件的地方。</w:t>
      </w:r>
    </w:p>
    <w:p w14:paraId="2C08A4AE">
      <w:pPr>
        <w:widowControl w:val="0"/>
        <w:tabs>
          <w:tab w:val="left" w:pos="2604"/>
        </w:tabs>
        <w:spacing w:after="0" w:line="240" w:lineRule="auto"/>
        <w:ind w:left="0" w:leftChars="0" w:firstLine="640" w:firstLineChars="200"/>
        <w:jc w:val="both"/>
        <w:outlineLvl w:val="0"/>
        <w:rPr>
          <w:rFonts w:hint="eastAsia" w:ascii="仿宋_GB2312" w:hAnsi="仿宋_GB2312" w:eastAsia="仿宋_GB2312" w:cs="仿宋_GB2312"/>
          <w:sz w:val="32"/>
          <w:szCs w:val="32"/>
        </w:rPr>
      </w:pPr>
      <w:r>
        <w:rPr>
          <w:rFonts w:hint="eastAsia" w:ascii="仿宋_GB2312" w:hAnsi="仿宋_GB2312" w:eastAsia="仿宋_GB2312" w:cs="仿宋_GB2312"/>
          <w:bCs/>
          <w:kern w:val="2"/>
          <w:sz w:val="32"/>
          <w:szCs w:val="32"/>
          <w:lang w:val="en-US" w:eastAsia="zh-CN" w:bidi="ar-SA"/>
          <w14:ligatures w14:val="none"/>
        </w:rPr>
        <w:t>https://www.channelnewsasia.com/east-asia/china-us-ai-talent-race-geopolitics-6203341</w:t>
      </w:r>
    </w:p>
    <w:p w14:paraId="68B0AB81"/>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C11F75"/>
    <w:rsid w:val="58C1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heme="minorHAnsi" w:hAnsiTheme="minorHAnsi" w:eastAsiaTheme="minorEastAsia" w:cstheme="minorBidi"/>
      <w:kern w:val="2"/>
      <w:sz w:val="21"/>
      <w:szCs w:val="24"/>
      <w:lang w:val="en-US" w:eastAsia="zh-CN" w:bidi="ar-SA"/>
      <w14:ligatures w14:val="none"/>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2026-06-26T02:59:00Z</dcterms:created>
  <dc:creator>xjh</dc:creator>
  <cp:lastModifiedBy>xjh</cp:lastModifiedBy>
  <dcterms:modified xsi:type="dcterms:W3CDTF">2026-06-26T02:59:48Z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CAE899F8AB34492787243CA312FE3A97_11</vt:lpwstr>
  </property>
  <property fmtid="{D5CDD505-2E9C-101B-9397-08002B2CF9AE}" pid="4" name="KSOTemplateDocerSaveRecord">
    <vt:lpwstr>eyJoZGlkIjoiZjJhZTA4MmMwZWExOTRjZTM3OTc3MWM0YTY0ZmJmYWMiLCJ1c2VySWQiOiIxMjcyODY3OTU0In0=</vt:lpwstr>
  </property>
</Properties>
</file>