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Times New Roman" w:hAnsi="Times New Roman" w:eastAsia="宋体"/>
          <w:b/>
          <w:sz w:val="32"/>
        </w:rPr>
        <w:t>AI产业链拉动外贸增长背景下北京人工智能产业发展情况、风险与建议</w:t>
      </w:r>
    </w:p>
    <w:p>
      <w:pPr>
        <w:jc w:val="both"/>
      </w:pPr>
      <w:r>
        <w:rPr>
          <w:rFonts w:ascii="Times New Roman" w:hAnsi="Times New Roman" w:eastAsia="宋体"/>
          <w:b w:val="0"/>
          <w:sz w:val="24"/>
        </w:rPr>
        <w:t>当前，全球人工智能产业进入加速扩张周期，算力基建、存储芯片、服务器、光模块、数据中心能源设备、智能终端和机器人等需求持续上行，AI已从科技产业内部变量转化为影响全球贸易结构的重要力量。美联储研究认为，AI基础设施投资正在提高数据中心建设所需关键投入品和中间品的国际需求，相关投资自2025年初以来已对国际贸易形成支撑。</w:t>
      </w:r>
      <w:r>
        <w:rPr>
          <w:rStyle w:val="FootnoteReference"/>
        </w:rPr>
        <w:footnoteReference w:id="1"/>
      </w:r>
      <w:r>
        <w:rPr>
          <w:rFonts w:ascii="Times New Roman" w:hAnsi="Times New Roman" w:eastAsia="宋体"/>
          <w:b w:val="0"/>
          <w:sz w:val="24"/>
        </w:rPr>
        <w:t xml:space="preserve"> 对我国而言，AI对出口的拉动并非主要体现为大模型本身，而是通过芯片、服务器、自动数据处理设备及零部件、通信设备、电力设备、机器人和智能终端等硬件链条体现出来。海关总署发布的数据显示，2026年前4个月，我国集成电路出口额同比增长78.3%，工业机器人出口额增长30%，4月当月自动数据处理设备及其零部件出口额增长47.3%。</w:t>
      </w:r>
      <w:r>
        <w:rPr>
          <w:rStyle w:val="FootnoteReference"/>
        </w:rPr>
        <w:footnoteReference w:id="2"/>
      </w:r>
      <w:r>
        <w:rPr>
          <w:rFonts w:ascii="Times New Roman" w:hAnsi="Times New Roman" w:eastAsia="宋体"/>
          <w:b w:val="0"/>
          <w:sz w:val="24"/>
        </w:rPr>
        <w:t xml:space="preserve"> 东方金诚测算，2026年5月集成电路和自动数据处理设备及其零部件两类商品出口高增，对当月整体出口增速的拉动达到9.4个百分点，贡献了整体出口增速逾一半。</w:t>
      </w:r>
      <w:r>
        <w:rPr>
          <w:rStyle w:val="FootnoteReference"/>
        </w:rPr>
        <w:footnoteReference w:id="3"/>
      </w:r>
    </w:p>
    <w:p>
      <w:pPr>
        <w:jc w:val="both"/>
      </w:pPr>
      <w:r>
        <w:rPr>
          <w:rFonts w:ascii="Times New Roman" w:hAnsi="Times New Roman" w:eastAsia="宋体"/>
          <w:b w:val="0"/>
          <w:sz w:val="24"/>
        </w:rPr>
        <w:t>北京在这一轮AI贸易中的角色，需要放在全国分工中看。北京并非以大规模电子制造和硬件装配见长，其优势主要集中在大模型、AI云、开发框架、内容平台、企业级应用、数据服务、安全治理和场景示范等环节。新华社报道称，北京2025年人工智能产业规模预计超过4500亿元，核心企业超过2500家，备案大模型212款，持续居全国首位。</w:t>
      </w:r>
      <w:r>
        <w:rPr>
          <w:rStyle w:val="FootnoteReference"/>
        </w:rPr>
        <w:footnoteReference w:id="4"/>
      </w:r>
      <w:r>
        <w:rPr>
          <w:rFonts w:ascii="Times New Roman" w:hAnsi="Times New Roman" w:eastAsia="宋体"/>
          <w:b w:val="0"/>
          <w:sz w:val="24"/>
        </w:rPr>
        <w:t xml:space="preserve"> 全国AI硬件贸易扩张给北京带来的启示，是推动北京企业把模型能力、平台生态、应用场景和治理服务转化为服务出口、软件能力输出、智能终端赋能和合规出海能力。</w:t>
      </w:r>
    </w:p>
    <w:p>
      <w:pPr>
        <w:pStyle w:val="Heading1"/>
      </w:pPr>
      <w:r>
        <w:rPr>
          <w:rFonts w:ascii="Times New Roman" w:hAnsi="Times New Roman" w:eastAsia="宋体"/>
          <w:b/>
          <w:sz w:val="24"/>
        </w:rPr>
        <w:t>一、AI产业链加速嵌入全球贸易，我国外贸增长呈现新动能</w:t>
      </w:r>
    </w:p>
    <w:p>
      <w:pPr>
        <w:jc w:val="both"/>
      </w:pPr>
      <w:r>
        <w:rPr>
          <w:rFonts w:ascii="Times New Roman" w:hAnsi="Times New Roman" w:eastAsia="宋体"/>
          <w:b w:val="0"/>
          <w:sz w:val="24"/>
        </w:rPr>
        <w:t>根据工业和信息化部等四部门印发的《国家人工智能产业综合标准化体系建设指南（2024版）》，人工智能产业链包括基础层、框架层、模型层、应用层四个部分；其中，基础层主要包括算力、算法和数据，框架层主要包括深度学习框架和工具，模型层主要包括大模型等技术和产品，应用层主要包括人工智能技术在行业场景中的应用。</w:t>
      </w:r>
      <w:r>
        <w:rPr>
          <w:rStyle w:val="FootnoteReference"/>
        </w:rPr>
        <w:footnoteReference w:id="5"/>
      </w:r>
      <w:r>
        <w:rPr>
          <w:rFonts w:ascii="Times New Roman" w:hAnsi="Times New Roman" w:eastAsia="宋体"/>
          <w:b w:val="0"/>
          <w:sz w:val="24"/>
        </w:rPr>
        <w:t xml:space="preserve"> 从海关统计角度看，AI相关产品目前分散在不同HS编码项下。美联储研究将HS 8471.50、8471.80、8473.30作为观察AI基础设施硬件贸易的窄口径，分别对应自动数据处理设备处理单元、自动数据处理设备其他单元及8471项下机器的零部件和附件，主要用于观察服务器、GPU/显卡及相关部件贸易。</w:t>
      </w:r>
      <w:r>
        <w:rPr>
          <w:rStyle w:val="FootnoteReference"/>
        </w:rPr>
        <w:footnoteReference w:id="6"/>
      </w:r>
      <w:r>
        <w:rPr>
          <w:rFonts w:ascii="Times New Roman" w:hAnsi="Times New Roman" w:eastAsia="宋体"/>
          <w:b w:val="0"/>
          <w:sz w:val="24"/>
        </w:rPr>
        <w:t xml:space="preserve"> 对外经济贸易大学数字经济实验室按海关芯片产品编码统计，单列存储器、处理器及控制器、其他集成电路等出口项目，可用于观察AI数据中心建设带来的芯片需求变化。</w:t>
      </w:r>
      <w:r>
        <w:rPr>
          <w:rStyle w:val="FootnoteReference"/>
        </w:rPr>
        <w:footnoteReference w:id="7"/>
      </w:r>
    </w:p>
    <w:p>
      <w:pPr>
        <w:jc w:val="both"/>
      </w:pPr>
      <w:r>
        <w:rPr>
          <w:rFonts w:ascii="Times New Roman" w:hAnsi="Times New Roman" w:eastAsia="宋体"/>
          <w:b w:val="0"/>
          <w:sz w:val="24"/>
        </w:rPr>
        <w:t>从全球看，AI基础设施建设已经明显改变国际贸易流向。世界贸易组织《World Trade Report 2025》指出，在不同情景下，到2040年AI有望推动全球贸易增长34%至37%。WTO还估算，2023年全球AI赋能商品贸易额达到2.3万亿美元，这类商品包括原材料、半导体和中间投入品等。</w:t>
      </w:r>
      <w:r>
        <w:rPr>
          <w:rStyle w:val="FootnoteReference"/>
        </w:rPr>
        <w:footnoteReference w:id="8"/>
      </w:r>
      <w:r>
        <w:rPr>
          <w:rFonts w:ascii="Times New Roman" w:hAnsi="Times New Roman" w:eastAsia="宋体"/>
          <w:b w:val="0"/>
          <w:sz w:val="24"/>
        </w:rPr>
        <w:t xml:space="preserve"> 美联储研究指出，建设数据中心带来的关键部件需求，自2025年初以来已经支撑了相关供应经济体的出口。</w:t>
      </w:r>
      <w:r>
        <w:rPr>
          <w:rStyle w:val="FootnoteReference"/>
        </w:rPr>
        <w:footnoteReference w:id="9"/>
      </w:r>
      <w:r>
        <w:rPr>
          <w:rFonts w:ascii="Times New Roman" w:hAnsi="Times New Roman" w:eastAsia="宋体"/>
          <w:b w:val="0"/>
          <w:sz w:val="24"/>
        </w:rPr>
        <w:t xml:space="preserve"> 中金公司测算，2024年全球AI相关产品出口额为3.1万亿美元，较2023年上升10.1%，占全球出口比重为14.5%；其中中国大陆、中国香港、中国台湾位列前三。</w:t>
      </w:r>
      <w:r>
        <w:rPr>
          <w:rStyle w:val="FootnoteReference"/>
        </w:rPr>
        <w:footnoteReference w:id="10"/>
      </w:r>
    </w:p>
    <w:p>
      <w:pPr>
        <w:jc w:val="both"/>
      </w:pPr>
      <w:r>
        <w:rPr>
          <w:rFonts w:ascii="Times New Roman" w:hAnsi="Times New Roman" w:eastAsia="宋体"/>
          <w:b w:val="0"/>
          <w:sz w:val="24"/>
        </w:rPr>
        <w:t>从我国看，本轮外贸高增呈现明显的AI链条带动特征。海关总署数据显示，2026年前5个月，我国货物贸易进出口总值20.68万亿元，同比增长15.3%；其中出口11.91万亿元、增长11.8%，进口8.77万亿元、增长20.5%。</w:t>
      </w:r>
      <w:r>
        <w:rPr>
          <w:rStyle w:val="FootnoteReference"/>
        </w:rPr>
        <w:footnoteReference w:id="11"/>
      </w:r>
      <w:r>
        <w:rPr>
          <w:rFonts w:ascii="Times New Roman" w:hAnsi="Times New Roman" w:eastAsia="宋体"/>
          <w:b w:val="0"/>
          <w:sz w:val="24"/>
        </w:rPr>
        <w:t xml:space="preserve"> 从出口结构看，前5个月高技术、高附加值机电产品出口7.58万亿元，同比增长18.4%，占我国整体出口超过六成。</w:t>
      </w:r>
      <w:r>
        <w:rPr>
          <w:rStyle w:val="FootnoteReference"/>
        </w:rPr>
        <w:footnoteReference w:id="12"/>
      </w:r>
      <w:r>
        <w:rPr>
          <w:rFonts w:ascii="Times New Roman" w:hAnsi="Times New Roman" w:eastAsia="宋体"/>
          <w:b w:val="0"/>
          <w:sz w:val="24"/>
        </w:rPr>
        <w:t xml:space="preserve"> 第一财经援引东方金诚测算称，2026年5月集成电路和自动数据处理设备及其零部件两类商品出口高增，对当月整体出口增速的拉动达到9.4个百分点，贡献了当月整体出口增速的逾一半。</w:t>
      </w:r>
      <w:r>
        <w:rPr>
          <w:rStyle w:val="FootnoteReference"/>
        </w:rPr>
        <w:footnoteReference w:id="13"/>
      </w:r>
      <w:r>
        <w:rPr>
          <w:rFonts w:ascii="Times New Roman" w:hAnsi="Times New Roman" w:eastAsia="宋体"/>
          <w:b w:val="0"/>
          <w:sz w:val="24"/>
        </w:rPr>
        <w:t xml:space="preserve"> AI对我国外贸的拉动主要表现为三条线索：一是全球算力投资推高了集成电路、服务器和自动数据处理设备需求；二是智能终端、工业机器人、3D打印机等高附加值产品出口加快，人民日报援引商务部国际贸易经济合作研究院副研究员朱思翘观点称，全球人工智能投资热潮持续升温，推高了芯片、电子元器件等需求和价格，中国在芯片封装、服务器制造、机器人整机领域具备成本与产能优势，满足了全球数据中心建设扩张需求。</w:t>
      </w:r>
      <w:r>
        <w:rPr>
          <w:rStyle w:val="FootnoteReference"/>
        </w:rPr>
        <w:footnoteReference w:id="14"/>
      </w:r>
      <w:r>
        <w:rPr>
          <w:rFonts w:ascii="Times New Roman" w:hAnsi="Times New Roman" w:eastAsia="宋体"/>
          <w:b w:val="0"/>
          <w:sz w:val="24"/>
        </w:rPr>
        <w:t xml:space="preserve"> 三是部分商品金额增长受到涨价因素放大。例如，2026年5月我国集成电路出口额355.5亿美元，同比增长110.9%，但出口量同比仅增长2.1%。</w:t>
      </w:r>
      <w:r>
        <w:rPr>
          <w:rStyle w:val="FootnoteReference"/>
        </w:rPr>
        <w:footnoteReference w:id="15"/>
      </w:r>
    </w:p>
    <w:p>
      <w:pPr>
        <w:pStyle w:val="Heading1"/>
      </w:pPr>
      <w:r>
        <w:rPr>
          <w:rFonts w:ascii="Times New Roman" w:hAnsi="Times New Roman" w:eastAsia="宋体"/>
          <w:b/>
          <w:sz w:val="24"/>
        </w:rPr>
        <w:t>二、我国AI相关进出口呈差异化发展，出口结构升级与核心环节约束并存</w:t>
      </w:r>
    </w:p>
    <w:p>
      <w:pPr>
        <w:pStyle w:val="Heading2"/>
      </w:pPr>
      <w:r>
        <w:rPr>
          <w:rFonts w:ascii="Times New Roman" w:hAnsi="Times New Roman" w:eastAsia="宋体"/>
          <w:b/>
          <w:sz w:val="24"/>
        </w:rPr>
        <w:t>（一）出口端：出口结构向新向优升级，AI拉动从核心硬件向终端和配套外溢</w:t>
      </w:r>
    </w:p>
    <w:p>
      <w:pPr>
        <w:jc w:val="both"/>
      </w:pPr>
      <w:r>
        <w:rPr>
          <w:rFonts w:ascii="Times New Roman" w:hAnsi="Times New Roman" w:eastAsia="宋体"/>
          <w:b w:val="0"/>
          <w:sz w:val="24"/>
        </w:rPr>
        <w:t>一是核心硬件出口规模扩大，存储芯片成为本轮AI贸易中最直观的增长项。AI训练和推理需要大量计算、存储和高速互联，美联储研究也将服务器、GPU/显卡和相关部件列为观察AI基础设施贸易的核心硬件。</w:t>
      </w:r>
      <w:r>
        <w:rPr>
          <w:rStyle w:val="FootnoteReference"/>
        </w:rPr>
        <w:footnoteReference w:id="16"/>
      </w:r>
      <w:r>
        <w:rPr>
          <w:rFonts w:ascii="Times New Roman" w:hAnsi="Times New Roman" w:eastAsia="宋体"/>
          <w:b w:val="0"/>
          <w:sz w:val="24"/>
        </w:rPr>
        <w:t xml:space="preserve"> 对外经济贸易大学数字经济实验室发布的《中国芯片产品贸易月度监测报告》显示，2026年一季度，中国芯片产品出口额排名前三的产品为存储器、处理器及控制器和其他集成电路，其中存储器出口额459.9亿美元。</w:t>
      </w:r>
      <w:r>
        <w:rPr>
          <w:rStyle w:val="FootnoteReference"/>
        </w:rPr>
        <w:footnoteReference w:id="17"/>
      </w:r>
      <w:r>
        <w:rPr>
          <w:rFonts w:ascii="Times New Roman" w:hAnsi="Times New Roman" w:eastAsia="宋体"/>
          <w:b w:val="0"/>
          <w:sz w:val="24"/>
        </w:rPr>
        <w:t xml:space="preserve"> 人民日报报道称，2026年前4个月我国集成电路出口额同比增长78.3%，4月当月集成电路出口额同比增长99.6%。</w:t>
      </w:r>
      <w:r>
        <w:rPr>
          <w:rStyle w:val="FootnoteReference"/>
        </w:rPr>
        <w:footnoteReference w:id="18"/>
      </w:r>
      <w:r>
        <w:rPr>
          <w:rFonts w:ascii="Times New Roman" w:hAnsi="Times New Roman" w:eastAsia="宋体"/>
          <w:b w:val="0"/>
          <w:sz w:val="24"/>
        </w:rPr>
        <w:t xml:space="preserve"> 第一财经报道称，2026年5月我国集成电路出口量同比增长2.1%，出口金额同比增长110.9%，显示出口额高增中存在明显价格因素。</w:t>
      </w:r>
      <w:r>
        <w:rPr>
          <w:rStyle w:val="FootnoteReference"/>
        </w:rPr>
        <w:footnoteReference w:id="19"/>
      </w:r>
      <w:r>
        <w:rPr>
          <w:rFonts w:ascii="Times New Roman" w:hAnsi="Times New Roman" w:eastAsia="宋体"/>
          <w:b w:val="0"/>
          <w:sz w:val="24"/>
        </w:rPr>
        <w:t xml:space="preserve"> 这些数据表明，存储器出口高增既受AI数据中心需求拉动，也受到全球存储周期上行和价格上涨放大。</w:t>
      </w:r>
    </w:p>
    <w:p>
      <w:pPr>
        <w:jc w:val="both"/>
      </w:pPr>
      <w:r>
        <w:rPr>
          <w:rFonts w:ascii="Times New Roman" w:hAnsi="Times New Roman" w:eastAsia="宋体"/>
          <w:b w:val="0"/>
          <w:sz w:val="24"/>
        </w:rPr>
        <w:t>二是自动数据处理设备及其零部件、服务器和通信设备成为AI贸易的主要承接品类。美联储窄口径AI相关贸易将HS 8471.50、8471.80、8473.30纳入统计，相关商品包括服务器、图形处理单元和自动数据处理设备部件等。</w:t>
      </w:r>
      <w:r>
        <w:rPr>
          <w:rStyle w:val="FootnoteReference"/>
        </w:rPr>
        <w:footnoteReference w:id="20"/>
      </w:r>
      <w:r>
        <w:rPr>
          <w:rFonts w:ascii="Times New Roman" w:hAnsi="Times New Roman" w:eastAsia="宋体"/>
          <w:b w:val="0"/>
          <w:sz w:val="24"/>
        </w:rPr>
        <w:t xml:space="preserve"> 美联储测算，2025年上半年上述窄口径AI相关产品贸易额超过2720亿美元，较2024年上半年增长65%。</w:t>
      </w:r>
      <w:r>
        <w:rPr>
          <w:rStyle w:val="FootnoteReference"/>
        </w:rPr>
        <w:footnoteReference w:id="21"/>
      </w:r>
      <w:r>
        <w:rPr>
          <w:rFonts w:ascii="Times New Roman" w:hAnsi="Times New Roman" w:eastAsia="宋体"/>
          <w:b w:val="0"/>
          <w:sz w:val="24"/>
        </w:rPr>
        <w:t xml:space="preserve"> 第一财经报道称，2026年5月我国自动数据处理设备及其零部件出口额268.9亿美元，同比增长66.1%。</w:t>
      </w:r>
      <w:r>
        <w:rPr>
          <w:rStyle w:val="FootnoteReference"/>
        </w:rPr>
        <w:footnoteReference w:id="22"/>
      </w:r>
      <w:r>
        <w:rPr>
          <w:rFonts w:ascii="Times New Roman" w:hAnsi="Times New Roman" w:eastAsia="宋体"/>
          <w:b w:val="0"/>
          <w:sz w:val="24"/>
        </w:rPr>
        <w:t xml:space="preserve"> 人民日报援引朱思翘分析称，中国在芯片封装、服务器制造、机器人整机领域具备成本与产能优势，能够满足全球数据中心建设扩张需求。</w:t>
      </w:r>
      <w:r>
        <w:rPr>
          <w:rStyle w:val="FootnoteReference"/>
        </w:rPr>
        <w:footnoteReference w:id="23"/>
      </w:r>
      <w:r>
        <w:rPr>
          <w:rFonts w:ascii="Times New Roman" w:hAnsi="Times New Roman" w:eastAsia="宋体"/>
          <w:b w:val="0"/>
          <w:sz w:val="24"/>
        </w:rPr>
        <w:t xml:space="preserve"> 这说明我国在最高端训练芯片上仍面临外部约束，但在服务器制造、数据中心部件、网络通信设备和系统集成等环节具有较强承接能力。</w:t>
      </w:r>
    </w:p>
    <w:p>
      <w:pPr>
        <w:jc w:val="both"/>
      </w:pPr>
      <w:r>
        <w:rPr>
          <w:rFonts w:ascii="Times New Roman" w:hAnsi="Times New Roman" w:eastAsia="宋体"/>
          <w:b w:val="0"/>
          <w:sz w:val="24"/>
        </w:rPr>
        <w:t>三是工业机器人、智能终端和具身智能产品正在成为AI贸易的后续增量。深圳海关统计显示，2026年前4个月，深圳3D打印机、数字照相机出口额分别为52.4亿元、37.1亿元，同比分别增长128.6%、72.1%，分别占全国同类商品出口总值的85.8%和70.3%。</w:t>
      </w:r>
      <w:r>
        <w:rPr>
          <w:rStyle w:val="FootnoteReference"/>
        </w:rPr>
        <w:footnoteReference w:id="24"/>
      </w:r>
      <w:r>
        <w:rPr>
          <w:rFonts w:ascii="Times New Roman" w:hAnsi="Times New Roman" w:eastAsia="宋体"/>
          <w:b w:val="0"/>
          <w:sz w:val="24"/>
        </w:rPr>
        <w:t xml:space="preserve"> 这表明，AI对出口的带动正在从算力基础设施向智能终端和具身智能产品延伸。</w:t>
      </w:r>
    </w:p>
    <w:p>
      <w:pPr>
        <w:jc w:val="both"/>
      </w:pPr>
      <w:r>
        <w:rPr>
          <w:rFonts w:ascii="Times New Roman" w:hAnsi="Times New Roman" w:eastAsia="宋体"/>
          <w:b w:val="0"/>
          <w:sz w:val="24"/>
        </w:rPr>
        <w:t>四是能源和基础设施配套设备有望成为AI贸易的外溢增量。国际能源署预计，全球数据中心用电量将在2030年左右达到约945太瓦时，较当前水平大体翻倍，AI是推动数据中心用电增长的最重要因素之一。</w:t>
      </w:r>
      <w:r>
        <w:rPr>
          <w:rStyle w:val="FootnoteReference"/>
        </w:rPr>
        <w:footnoteReference w:id="25"/>
      </w:r>
      <w:r>
        <w:rPr>
          <w:rFonts w:ascii="Times New Roman" w:hAnsi="Times New Roman" w:eastAsia="宋体"/>
          <w:b w:val="0"/>
          <w:sz w:val="24"/>
        </w:rPr>
        <w:t>随着AI数据中心用电密度提升，变压器、配电柜、UPS、储能、液冷、散热、柴油发电机组、光纤光模块等配套产品的重要性将继续上升。</w:t>
      </w:r>
      <w:r>
        <w:rPr>
          <w:rStyle w:val="FootnoteReference"/>
        </w:rPr>
        <w:footnoteReference w:id="26"/>
      </w:r>
      <w:r>
        <w:rPr>
          <w:rFonts w:ascii="Times New Roman" w:hAnsi="Times New Roman" w:eastAsia="宋体"/>
          <w:b w:val="0"/>
          <w:sz w:val="24"/>
        </w:rPr>
        <w:t xml:space="preserve"> 对我国企业而言，这一环节的机会主要来自电力设备、通信设备和新能源供应链优势。</w:t>
      </w:r>
    </w:p>
    <w:p>
      <w:pPr>
        <w:pStyle w:val="Heading2"/>
      </w:pPr>
      <w:r>
        <w:rPr>
          <w:rFonts w:ascii="Times New Roman" w:hAnsi="Times New Roman" w:eastAsia="宋体"/>
          <w:b/>
          <w:sz w:val="24"/>
        </w:rPr>
        <w:t>（二）进口端：核心算力依赖度高，涨价驱动特征显著</w:t>
      </w:r>
    </w:p>
    <w:p>
      <w:pPr>
        <w:jc w:val="both"/>
      </w:pPr>
      <w:r>
        <w:rPr>
          <w:rFonts w:ascii="Times New Roman" w:hAnsi="Times New Roman" w:eastAsia="宋体"/>
          <w:b w:val="0"/>
          <w:sz w:val="24"/>
        </w:rPr>
        <w:t>一是高端算力和关键软硬件生态仍是我国AI产业链的结构性短板。美国商务部工业与安全局近年来持续强化先进计算半导体和相关设备出口限制，相关规则已从芯片本身延伸到代工、设备和最终用途审查等环节。</w:t>
      </w:r>
      <w:r>
        <w:rPr>
          <w:rStyle w:val="FootnoteReference"/>
        </w:rPr>
        <w:footnoteReference w:id="27"/>
      </w:r>
      <w:r>
        <w:rPr>
          <w:rFonts w:ascii="Times New Roman" w:hAnsi="Times New Roman" w:eastAsia="宋体"/>
          <w:b w:val="0"/>
          <w:sz w:val="24"/>
        </w:rPr>
        <w:t xml:space="preserve"> 美联储研究也指出，受地缘政治紧张和高科技出口限制影响，中国AI相关进口在2025年二季度出现回落。</w:t>
      </w:r>
      <w:r>
        <w:rPr>
          <w:rStyle w:val="FootnoteReference"/>
        </w:rPr>
        <w:footnoteReference w:id="28"/>
      </w:r>
      <w:r>
        <w:rPr>
          <w:rFonts w:ascii="Times New Roman" w:hAnsi="Times New Roman" w:eastAsia="宋体"/>
          <w:b w:val="0"/>
          <w:sz w:val="24"/>
        </w:rPr>
        <w:t xml:space="preserve"> 人民日报援引商务部研究人员观点称，中国在芯片封装、服务器制造、机器人整机领域具备成本与产能优势，这也说明我国优势更多集中在封装、制造和整机环节，高端算力核心器件仍是需要持续突破的环节。</w:t>
      </w:r>
      <w:r>
        <w:rPr>
          <w:rStyle w:val="FootnoteReference"/>
        </w:rPr>
        <w:footnoteReference w:id="29"/>
      </w:r>
      <w:r>
        <w:rPr>
          <w:rFonts w:ascii="Times New Roman" w:hAnsi="Times New Roman" w:eastAsia="宋体"/>
          <w:b w:val="0"/>
          <w:sz w:val="24"/>
        </w:rPr>
        <w:t xml:space="preserve"> 对北京大模型企业而言，外部约束会传导为算力采购成本、交付周期、模型训练节奏和技术路线选择压力。</w:t>
      </w:r>
    </w:p>
    <w:p>
      <w:pPr>
        <w:jc w:val="both"/>
      </w:pPr>
      <w:r>
        <w:rPr>
          <w:rFonts w:ascii="Times New Roman" w:hAnsi="Times New Roman" w:eastAsia="宋体"/>
          <w:b w:val="0"/>
          <w:sz w:val="24"/>
        </w:rPr>
        <w:t>二是进口额增长中价格因素较为突出。中国青年报援引粤开证券分析称，2026年5月铜矿砂及其精矿、集成电路进口金额分别同比增长34%和68%，但进口数量有所下降，显示本轮进口增长主要由价格因素贡献。</w:t>
      </w:r>
      <w:r>
        <w:rPr>
          <w:rStyle w:val="FootnoteReference"/>
        </w:rPr>
        <w:footnoteReference w:id="30"/>
      </w:r>
      <w:r>
        <w:rPr>
          <w:rFonts w:ascii="Times New Roman" w:hAnsi="Times New Roman" w:eastAsia="宋体"/>
          <w:b w:val="0"/>
          <w:sz w:val="24"/>
        </w:rPr>
        <w:t xml:space="preserve"> 第一财经也援引东方金诚判断称，芯片、电脑零部件、电子元件价格继续上涨，对我国出口金额的拉动力增强。</w:t>
      </w:r>
      <w:r>
        <w:rPr>
          <w:rStyle w:val="FootnoteReference"/>
        </w:rPr>
        <w:footnoteReference w:id="31"/>
      </w:r>
      <w:r>
        <w:rPr>
          <w:rFonts w:ascii="Times New Roman" w:hAnsi="Times New Roman" w:eastAsia="宋体"/>
          <w:b w:val="0"/>
          <w:sz w:val="24"/>
        </w:rPr>
        <w:t xml:space="preserve"> 这意味着，本轮进出口增长并不完全来自数量扩张，而是受到上游金属、半导体和高端器件价格上行推动。对企业而言，AI产业链景气上行会带来订单机会，也会同步带来算力、器件和材料成本压力。</w:t>
      </w:r>
    </w:p>
    <w:p>
      <w:pPr>
        <w:jc w:val="both"/>
      </w:pPr>
      <w:r>
        <w:rPr>
          <w:rFonts w:ascii="Times New Roman" w:hAnsi="Times New Roman" w:eastAsia="宋体"/>
          <w:b w:val="0"/>
          <w:sz w:val="24"/>
        </w:rPr>
        <w:t>三是贸易差额呈现“配套环节较强、核心环节承压”的结构。人民日报援引商务部研究人员观点称，中国在芯片封装、服务器制造、机器人整机领域具备成本与产能优势，说明我国在中下游制造、系统集成和终端应用上具备较强承接能力。</w:t>
      </w:r>
      <w:r>
        <w:rPr>
          <w:rStyle w:val="FootnoteReference"/>
        </w:rPr>
        <w:footnoteReference w:id="32"/>
      </w:r>
      <w:r>
        <w:rPr>
          <w:rFonts w:ascii="Times New Roman" w:hAnsi="Times New Roman" w:eastAsia="宋体"/>
          <w:b w:val="0"/>
          <w:sz w:val="24"/>
        </w:rPr>
        <w:t xml:space="preserve"> 美国持续强化先进计算半导体和相关设备出口限制，说明高端GPU、先进制程、半导体设备和关键软件生态仍是外部不确定性最强的环节。</w:t>
      </w:r>
      <w:r>
        <w:rPr>
          <w:rStyle w:val="FootnoteReference"/>
        </w:rPr>
        <w:footnoteReference w:id="33"/>
      </w:r>
      <w:r>
        <w:rPr>
          <w:rFonts w:ascii="Times New Roman" w:hAnsi="Times New Roman" w:eastAsia="宋体"/>
          <w:b w:val="0"/>
          <w:sz w:val="24"/>
        </w:rPr>
        <w:t xml:space="preserve"> 若未来全球AI资本开支放缓，或主要经济体继续加码出口管制和本土化替代，我国AI相关出口订单、芯片价格、企业库存和投资预期都可能出现波动。</w:t>
      </w:r>
    </w:p>
    <w:p>
      <w:pPr>
        <w:pStyle w:val="Heading1"/>
      </w:pPr>
      <w:r>
        <w:rPr>
          <w:rFonts w:ascii="Times New Roman" w:hAnsi="Times New Roman" w:eastAsia="宋体"/>
          <w:b/>
          <w:sz w:val="24"/>
        </w:rPr>
        <w:t>三、北京AI企业分化明显：平台大厂、场景大厂、AI原生公司和底层支撑企业风险各异</w:t>
      </w:r>
    </w:p>
    <w:p>
      <w:pPr>
        <w:jc w:val="both"/>
      </w:pPr>
      <w:r>
        <w:rPr>
          <w:rFonts w:ascii="Times New Roman" w:hAnsi="Times New Roman" w:eastAsia="宋体"/>
          <w:b w:val="0"/>
          <w:sz w:val="24"/>
        </w:rPr>
        <w:t>北京人工智能产业总量、密度和原创能力处于全国前列。《北京人工智能产业白皮书（2025）》显示，2025年上半年，北京人工智能核心产业规模2152.2亿元，同比增长25.3%，全年规模有望超过4500亿元；北京AI企业超2500家，已备案大模型183款，持续保持全国第一。</w:t>
      </w:r>
      <w:r>
        <w:rPr>
          <w:rStyle w:val="FootnoteReference"/>
        </w:rPr>
        <w:footnoteReference w:id="34"/>
      </w:r>
      <w:r>
        <w:rPr>
          <w:rFonts w:ascii="Times New Roman" w:hAnsi="Times New Roman" w:eastAsia="宋体"/>
          <w:b w:val="0"/>
          <w:sz w:val="24"/>
        </w:rPr>
        <w:t xml:space="preserve"> 新华社2026年报道进一步指出，北京2025年人工智能产业规模预计超过4500亿元，核心企业超过2500家，备案大模型212款，持续居全国首位，并集聚了寒武纪、摩尔线程、昆仑芯、清微智能等国产算力芯片企业，以及豆包、智谱GLM、月之暗面Kimi、百度文心等基础模型。</w:t>
      </w:r>
      <w:r>
        <w:rPr>
          <w:rStyle w:val="FootnoteReference"/>
        </w:rPr>
        <w:footnoteReference w:id="35"/>
      </w:r>
    </w:p>
    <w:p>
      <w:pPr>
        <w:jc w:val="both"/>
      </w:pPr>
      <w:r>
        <w:rPr>
          <w:rFonts w:ascii="Times New Roman" w:hAnsi="Times New Roman" w:eastAsia="宋体"/>
          <w:b w:val="0"/>
          <w:sz w:val="24"/>
        </w:rPr>
        <w:t>研判认为，北京AI产业的强项不在单点制造，而在“平台入口、垂直场景、原生模型、底层支撑、物理世界”五类企业的复合密度。全国AI硬件出口扩张给北京带来的机会，主要是推动北京企业通过模型、云服务、智能终端、行业方案、数据治理和安全合规等方式参与全球AI产业链，而不是简单转向大规模硬件装配。</w:t>
      </w:r>
    </w:p>
    <w:p>
      <w:pPr>
        <w:pStyle w:val="Heading2"/>
      </w:pPr>
      <w:r>
        <w:rPr>
          <w:rFonts w:ascii="Times New Roman" w:hAnsi="Times New Roman" w:eastAsia="宋体"/>
          <w:b/>
          <w:sz w:val="24"/>
        </w:rPr>
        <w:t>（一）综合平台型大厂：百度、字节、小米具备模型、云服务和入口协同优势</w:t>
      </w:r>
    </w:p>
    <w:p>
      <w:pPr>
        <w:jc w:val="both"/>
      </w:pPr>
      <w:r>
        <w:rPr>
          <w:rFonts w:ascii="Times New Roman" w:hAnsi="Times New Roman" w:eastAsia="宋体"/>
          <w:b w:val="0"/>
          <w:sz w:val="24"/>
        </w:rPr>
        <w:t>百度、字节跳动、小米属于北京AI产业中最具平台属性的大厂。百度横跨AI芯片、智能云、飞桨框架、文心大模型、搜索、文库、智能体和Apollo自动驾驶，是北京少数具备“算力-云-模型-应用”全栈能力的企业。百度2026年一季度财报显示，AI Cloud Infra收入88亿元，同比增长79%，GPU Cloud收入同比增长184%，说明AI云基础设施已经成为其增长重点。</w:t>
      </w:r>
      <w:r>
        <w:rPr>
          <w:rStyle w:val="FootnoteReference"/>
        </w:rPr>
        <w:footnoteReference w:id="36"/>
      </w:r>
      <w:r>
        <w:rPr>
          <w:rFonts w:ascii="Times New Roman" w:hAnsi="Times New Roman" w:eastAsia="宋体"/>
          <w:b w:val="0"/>
          <w:sz w:val="24"/>
        </w:rPr>
        <w:t xml:space="preserve"> 字节跳动依托豆包、Seed系列模型、火山引擎、抖音和海外内容生态，形成“模型+云服务+内容入口”的平台能力。小米则通过AI手机、AIoT、智能汽车和生态设备，将AI能力嵌入消费终端和车载场景。此类企业的优势在于用户入口广、数据和场景丰富、工程化能力强；风险在于AI投入巨大、算力成本高、平台治理压力重，且出海过程中更容易遇到数据跨境、算法透明、内容安全和地缘政治审查。</w:t>
      </w:r>
    </w:p>
    <w:p>
      <w:pPr>
        <w:pStyle w:val="Heading2"/>
      </w:pPr>
      <w:r>
        <w:rPr>
          <w:rFonts w:ascii="Times New Roman" w:hAnsi="Times New Roman" w:eastAsia="宋体"/>
          <w:b/>
          <w:sz w:val="24"/>
        </w:rPr>
        <w:t>（二）垂直场景型大厂：京东、美团、快手、联想更依赖既有主业牵引AI落地</w:t>
      </w:r>
    </w:p>
    <w:p>
      <w:pPr>
        <w:jc w:val="both"/>
      </w:pPr>
      <w:r>
        <w:rPr>
          <w:rFonts w:ascii="Times New Roman" w:hAnsi="Times New Roman" w:eastAsia="宋体"/>
          <w:b w:val="0"/>
          <w:sz w:val="24"/>
        </w:rPr>
        <w:t>京东、美团、快手、联想等企业同样体量较大，但AI价值更多来自既有业务场景。京东主要将AI嵌入供应链、仓储物流、零售运营和企业服务；美团更侧重本地生活、即时配送、商家工具、无人配送和履约调度；快手以可灵AI、短视频、直播、电商和广告营销为主要落点；联想则围绕AI PC、AI服务器、企业服务和全球终端渠道推进AI应用。快手2026年一季度业绩显示，可灵AI收入超过6.5亿元，同比增长超过300%，说明AIGC工具正在从技术展示进入商业化阶段。</w:t>
      </w:r>
      <w:r>
        <w:rPr>
          <w:rStyle w:val="FootnoteReference"/>
        </w:rPr>
        <w:footnoteReference w:id="37"/>
      </w:r>
      <w:r>
        <w:rPr>
          <w:rFonts w:ascii="Times New Roman" w:hAnsi="Times New Roman" w:eastAsia="宋体"/>
          <w:b w:val="0"/>
          <w:sz w:val="24"/>
        </w:rPr>
        <w:t xml:space="preserve"> 此类企业的优势在于场景真实、业务闭环完整、商业化路径较明确；风险在于AI项目必须服务主业降本增效，若投入回报不及预期，容易被压缩预算。同时，快手等内容平台还面临深度合成标识、版权、虚假营销、未成年人保护等治理压力，联想等硬件属性较强的企业还需关注芯片、核心零部件和海外认证等供应链风险。</w:t>
      </w:r>
    </w:p>
    <w:p>
      <w:pPr>
        <w:pStyle w:val="Heading2"/>
      </w:pPr>
      <w:r>
        <w:rPr>
          <w:rFonts w:ascii="Times New Roman" w:hAnsi="Times New Roman" w:eastAsia="宋体"/>
          <w:b/>
          <w:sz w:val="24"/>
        </w:rPr>
        <w:t>（三）AI原生模型与企业服务公司：智谱、月之暗面、生数科技等商业化压力更直接</w:t>
      </w:r>
    </w:p>
    <w:p>
      <w:pPr>
        <w:jc w:val="both"/>
      </w:pPr>
      <w:r>
        <w:rPr>
          <w:rFonts w:ascii="Times New Roman" w:hAnsi="Times New Roman" w:eastAsia="宋体"/>
          <w:b w:val="0"/>
          <w:sz w:val="24"/>
        </w:rPr>
        <w:t>智谱AI、月之暗面、百川智能、零一万物、面壁智能、第四范式、生数科技等企业更接近“AI原生公司”。智谱AI、月之暗面、百川智能、零一万物、面壁智能主要围绕通用大模型、长文本、Agent、API、MaaS和私有化部署展开竞争；第四范式更侧重企业级AI和行业智能化；生数科技则以多模态视频生成能力切入AIGC工具和内容生产。清华大学2024年报道显示，生数科技联合清华团队发布了中国首个长时长、高一致性、高动态性视频大模型Vidu。</w:t>
      </w:r>
      <w:r>
        <w:rPr>
          <w:rStyle w:val="FootnoteReference"/>
        </w:rPr>
        <w:footnoteReference w:id="38"/>
      </w:r>
      <w:r>
        <w:rPr>
          <w:rFonts w:ascii="Times New Roman" w:hAnsi="Times New Roman" w:eastAsia="宋体"/>
          <w:b w:val="0"/>
          <w:sz w:val="24"/>
        </w:rPr>
        <w:t xml:space="preserve"> 此类企业代表北京AI原创能力，但也最直接承受大模型行业从“参数规模竞赛”转向“成本、场景和收入竞赛”的压力。其风险在于算力成本高、开源模型和低价API压缩溢价、B端项目交付重、客户回款周期长；若融资环境转冷或示范场景不足，部分企业可能面临估值回调、人员流动和业务收缩。</w:t>
      </w:r>
    </w:p>
    <w:p>
      <w:pPr>
        <w:pStyle w:val="Heading2"/>
      </w:pPr>
      <w:r>
        <w:rPr>
          <w:rFonts w:ascii="Times New Roman" w:hAnsi="Times New Roman" w:eastAsia="宋体"/>
          <w:b/>
          <w:sz w:val="24"/>
        </w:rPr>
        <w:t>（四）底层支撑与治理服务企业：芯片、数据、安全决定北京AI生态能否跑稳</w:t>
      </w:r>
    </w:p>
    <w:p>
      <w:pPr>
        <w:jc w:val="both"/>
      </w:pPr>
      <w:r>
        <w:rPr>
          <w:rFonts w:ascii="Times New Roman" w:hAnsi="Times New Roman" w:eastAsia="宋体"/>
          <w:b w:val="0"/>
          <w:sz w:val="24"/>
        </w:rPr>
        <w:t>北京已有昆仑芯、寒武纪、摩尔线程、清微智能、地平线、后摩智能等芯片和算力企业，也有海天瑞声、拓尔思、360、奇安信等数据和安全治理企业。北京科委、中关村管委会发布的信息显示，北京正在推动全栈生态式布局，从算力芯片到大模型、从人形机器人到智能制造形成协同。</w:t>
      </w:r>
      <w:r>
        <w:rPr>
          <w:rStyle w:val="FootnoteReference"/>
        </w:rPr>
        <w:footnoteReference w:id="39"/>
      </w:r>
      <w:r>
        <w:rPr>
          <w:rFonts w:ascii="Times New Roman" w:hAnsi="Times New Roman" w:eastAsia="宋体"/>
          <w:b w:val="0"/>
          <w:sz w:val="24"/>
        </w:rPr>
        <w:t xml:space="preserve"> 地平线官网称，其提供整合算法、软件和处理硬件的乘用车智能辅助驾驶解决方案，属于北京车载AI芯片和智能驾驶方案的重要代表。</w:t>
      </w:r>
      <w:r>
        <w:rPr>
          <w:rStyle w:val="FootnoteReference"/>
        </w:rPr>
        <w:footnoteReference w:id="40"/>
      </w:r>
      <w:r>
        <w:rPr>
          <w:rFonts w:ascii="Times New Roman" w:hAnsi="Times New Roman" w:eastAsia="宋体"/>
          <w:b w:val="0"/>
          <w:sz w:val="24"/>
        </w:rPr>
        <w:t xml:space="preserve"> 北京科委2026年信息显示，后摩智能全国总部已在北京亦庄启用，企业聚焦端边大模型AI芯片和端侧智能算力。</w:t>
      </w:r>
      <w:r>
        <w:rPr>
          <w:rStyle w:val="FootnoteReference"/>
        </w:rPr>
        <w:footnoteReference w:id="41"/>
      </w:r>
      <w:r>
        <w:rPr>
          <w:rFonts w:ascii="Times New Roman" w:hAnsi="Times New Roman" w:eastAsia="宋体"/>
          <w:b w:val="0"/>
          <w:sz w:val="24"/>
        </w:rPr>
        <w:t xml:space="preserve"> 这类企业的价值在于降低北京模型企业对外部算力和工具链的依赖，并为网信治理提供数据、评测、安全和内容风控能力；风险在于芯片生态适配周期长，编译器、算子库、开发工具链、模型迁移效率和稳定运行能力仍需持续验证，数据服务企业还面临版权授权、个人信息保护、跨境采集和数据来源可追溯等合规问题。</w:t>
      </w:r>
    </w:p>
    <w:p>
      <w:pPr>
        <w:pStyle w:val="Heading2"/>
      </w:pPr>
      <w:r>
        <w:rPr>
          <w:rFonts w:ascii="Times New Roman" w:hAnsi="Times New Roman" w:eastAsia="宋体"/>
          <w:b/>
          <w:sz w:val="24"/>
        </w:rPr>
        <w:t>（五）具身智能与智能硬件新赛道：银河通用、梅卡曼德、星动纪元等推动AI进入物理世界</w:t>
      </w:r>
    </w:p>
    <w:p>
      <w:pPr>
        <w:jc w:val="both"/>
      </w:pPr>
      <w:r>
        <w:rPr>
          <w:rFonts w:ascii="Times New Roman" w:hAnsi="Times New Roman" w:eastAsia="宋体"/>
          <w:b w:val="0"/>
          <w:sz w:val="24"/>
        </w:rPr>
        <w:t>AI贸易从基础设施向终端应用外溢后，北京的具身智能、智能硬件和自动驾驶企业将迎来更大空间。银河通用、梅卡曼德、星动纪元、旷视机器人、小马智行等企业正在把模型能力、视觉感知、机器人控制和自动驾驶算法带入工业、物流、商业服务和城市交通场景。星动纪元官网显示，其聚焦通用具身智能与人形机器人产品研发，产品覆盖人形机器人、灵巧手等方向。</w:t>
      </w:r>
      <w:r>
        <w:rPr>
          <w:rStyle w:val="FootnoteReference"/>
        </w:rPr>
        <w:footnoteReference w:id="42"/>
      </w:r>
      <w:r>
        <w:rPr>
          <w:rFonts w:ascii="Times New Roman" w:hAnsi="Times New Roman" w:eastAsia="宋体"/>
          <w:b w:val="0"/>
          <w:sz w:val="24"/>
        </w:rPr>
        <w:t xml:space="preserve"> 小马智行官网显示，其在自动驾驶出行、自动驾驶卡车和乘用车智能驾驶等方向布局。</w:t>
      </w:r>
      <w:r>
        <w:rPr>
          <w:rStyle w:val="FootnoteReference"/>
        </w:rPr>
        <w:footnoteReference w:id="43"/>
      </w:r>
      <w:r>
        <w:rPr>
          <w:rFonts w:ascii="Times New Roman" w:hAnsi="Times New Roman" w:eastAsia="宋体"/>
          <w:b w:val="0"/>
          <w:sz w:val="24"/>
        </w:rPr>
        <w:t xml:space="preserve"> 这类企业更接近AI外贸从“服务器和芯片”向“机器人、智能汽车和行业设备”外溢的方向；风险在于核心零部件、量产能力、海外认证、售后网络和真实场景订单仍需验证，人形机器人还需关注大模型与具身控制融合的研发进度，自动驾驶企业则需关注各地路测法规差异和安全事故责任界定。</w:t>
      </w:r>
    </w:p>
    <w:p>
      <w:pPr>
        <w:jc w:val="both"/>
      </w:pPr>
      <w:r>
        <w:rPr>
          <w:rFonts w:ascii="Times New Roman" w:hAnsi="Times New Roman" w:eastAsia="宋体"/>
          <w:b w:val="0"/>
          <w:sz w:val="24"/>
        </w:rPr>
        <w:t>从出海角度看，北京AI企业更适合走“模型能力+行业方案+合规服务”的路径。商务部数据显示，2025年我国服务贸易总额80823.1亿元，同比增长7.4%；其中电信、计算机和信息服务进出口11038.1亿元，同比增长10.4%。</w:t>
      </w:r>
      <w:r>
        <w:rPr>
          <w:rStyle w:val="FootnoteReference"/>
        </w:rPr>
        <w:footnoteReference w:id="44"/>
      </w:r>
      <w:r>
        <w:rPr>
          <w:rFonts w:ascii="Times New Roman" w:hAnsi="Times New Roman" w:eastAsia="宋体"/>
          <w:b w:val="0"/>
          <w:sz w:val="24"/>
        </w:rPr>
        <w:t xml:space="preserve"> 中金公司测算，截至2025年10月的滚动12个月，中国电信、计算机和信息服务出口金额为708亿美元，同比增长13.5%，高于同期AI相关产品出口增速。</w:t>
      </w:r>
      <w:r>
        <w:rPr>
          <w:rStyle w:val="FootnoteReference"/>
        </w:rPr>
        <w:footnoteReference w:id="45"/>
      </w:r>
      <w:r>
        <w:rPr>
          <w:rFonts w:ascii="Times New Roman" w:hAnsi="Times New Roman" w:eastAsia="宋体"/>
          <w:b w:val="0"/>
          <w:sz w:val="24"/>
        </w:rPr>
        <w:t xml:space="preserve"> 北京已设立首批“中关村人工智能企业出海服务港”，聚焦AI企业出海的政策咨询、合规培训、材料预审、港澳东盟等市场对接等共性需求，这一机制应进一步从一般企业服务升级为AI企业出海合规中台。</w:t>
      </w:r>
      <w:r>
        <w:rPr>
          <w:rStyle w:val="FootnoteReference"/>
        </w:rPr>
        <w:footnoteReference w:id="46"/>
      </w:r>
    </w:p>
    <w:p>
      <w:pPr>
        <w:pStyle w:val="Heading1"/>
      </w:pPr>
      <w:r>
        <w:rPr>
          <w:rFonts w:ascii="Times New Roman" w:hAnsi="Times New Roman" w:eastAsia="宋体"/>
          <w:b/>
          <w:sz w:val="24"/>
        </w:rPr>
        <w:t>四、需重点关注北京AI产业六类风险</w:t>
      </w:r>
    </w:p>
    <w:p>
      <w:pPr>
        <w:jc w:val="both"/>
      </w:pPr>
      <w:r>
        <w:rPr>
          <w:rFonts w:ascii="Times New Roman" w:hAnsi="Times New Roman" w:eastAsia="宋体"/>
          <w:b w:val="0"/>
          <w:sz w:val="24"/>
        </w:rPr>
        <w:t>一是全球AI资本开支波动可能传导至北京企业。当前AI贸易高景气主要由全球数据中心和算力基础设施投资支撑，但AI商业化回报、云厂商资本开支、存储芯片价格和国际能源价格都存在波动。中金公司判断，2025年1至9月美国AI相关产品进口主要来源地为中国台湾、墨西哥、越南，中国大陆占比仅8%，美国AI资本开支放缓对中国大陆整体出口增速的直接影响或相对有限；但北京企业仍会通过芯片价格、客户预算、云服务成本、投资情绪和出海预期受到间接影响。</w:t>
      </w:r>
      <w:r>
        <w:rPr>
          <w:rStyle w:val="FootnoteReference"/>
        </w:rPr>
        <w:footnoteReference w:id="47"/>
      </w:r>
    </w:p>
    <w:p>
      <w:pPr>
        <w:jc w:val="both"/>
      </w:pPr>
      <w:r>
        <w:rPr>
          <w:rFonts w:ascii="Times New Roman" w:hAnsi="Times New Roman" w:eastAsia="宋体"/>
          <w:b w:val="0"/>
          <w:sz w:val="24"/>
        </w:rPr>
        <w:t>二是核心算力和软硬件生态适配仍是底层约束。北京有国产算力芯片企业和大量大模型企业，但二者之间还需要形成低成本、可迁移、可评测、可规模化的适配闭环。若模型企业继续高度依赖少数进口或受限芯片，外部管制变化会影响训练和推理节奏；若国产算力适配成本过高，又会影响企业商业化速度。北京的风险不在“没有芯片企业”，而在“芯片、框架、模型和应用之间的协同效率还不够高”。</w:t>
      </w:r>
    </w:p>
    <w:p>
      <w:pPr>
        <w:jc w:val="both"/>
      </w:pPr>
      <w:r>
        <w:rPr>
          <w:rFonts w:ascii="Times New Roman" w:hAnsi="Times New Roman" w:eastAsia="宋体"/>
          <w:b w:val="0"/>
          <w:sz w:val="24"/>
        </w:rPr>
        <w:t>三是模型企业商业化和资本持续投入存在不确定性。智谱AI、月之暗面、百川智能、零一万物、面壁智能等企业技术热度高，但大模型行业正在进入优胜劣汰阶段。通用聊天产品难以长期支撑高估值，企业级项目又往往交付重、复购慢、需求碎片化。若缺少政府、央国企和行业龙头提供高价值场景，部分企业可能陷入“模型发布多、真实收入少”的困境。</w:t>
      </w:r>
    </w:p>
    <w:p>
      <w:pPr>
        <w:jc w:val="both"/>
      </w:pPr>
      <w:r>
        <w:rPr>
          <w:rFonts w:ascii="Times New Roman" w:hAnsi="Times New Roman" w:eastAsia="宋体"/>
          <w:b w:val="0"/>
          <w:sz w:val="24"/>
        </w:rPr>
        <w:t>四是内容平台和AIGC产品治理风险明显上升。字节、快手、百度等平台将AI能力嵌入搜索、短视频、直播、电商、广告和办公工具后，内容风险可能被推荐系统快速放大。特别是AI生成视频、AI数字人直播、自动化营销文案、智能体代操作等新形态，可能引发版权、肖像、诈骗、舆情操纵、未成年人保护和社会价值导向问题。国家网信办等四部门发布的《人工智能生成合成内容标识办法》明确，人工智能生成合成内容标识包括显式标识和隐式标识，并自2025年9月1日起施行；北京平台型企业集中，落实压力更大。</w:t>
      </w:r>
      <w:r>
        <w:rPr>
          <w:rStyle w:val="FootnoteReference"/>
        </w:rPr>
        <w:footnoteReference w:id="48"/>
      </w:r>
    </w:p>
    <w:p>
      <w:pPr>
        <w:jc w:val="both"/>
      </w:pPr>
      <w:r>
        <w:rPr>
          <w:rFonts w:ascii="Times New Roman" w:hAnsi="Times New Roman" w:eastAsia="宋体"/>
          <w:b w:val="0"/>
          <w:sz w:val="24"/>
        </w:rPr>
        <w:t>五是数据来源、版权和个人信息保护会成为北京AI持续创新的基础性瓶颈。高质量语料、行业知识、多模态数据、政务和医疗教育数据对模型能力提升至关重要，但越是高价值数据，越涉及确权、授权、脱敏、用途限制和责任追溯。若缺少合规数据供给机制，企业要么“不敢用数据”，要么可能在训练和产品化中埋下版权、隐私和安全隐患。</w:t>
      </w:r>
    </w:p>
    <w:p>
      <w:pPr>
        <w:jc w:val="both"/>
      </w:pPr>
      <w:r>
        <w:rPr>
          <w:rFonts w:ascii="Times New Roman" w:hAnsi="Times New Roman" w:eastAsia="宋体"/>
          <w:b w:val="0"/>
          <w:sz w:val="24"/>
        </w:rPr>
        <w:t>六是AI创业“虚火”和重复投入风险需提前防范。北京AI企业数量多、融资活跃、模型备案领先，但也容易出现概念先行、重复造模、只做Demo、不做场景、过度依赖融资等问题。各区在招商和园区建设中若单纯追求“模型数量”“算力规模”“独角兽概念”，可能导致低水平重复建设。尤其是海淀等高校、科研院所和初创企业高度集中的区域，创业失败可能外溢为就业、欠薪、知识产权纠纷和负面舆情。</w:t>
      </w:r>
    </w:p>
    <w:p>
      <w:pPr>
        <w:pStyle w:val="Heading1"/>
      </w:pPr>
      <w:r>
        <w:rPr>
          <w:rFonts w:ascii="Times New Roman" w:hAnsi="Times New Roman" w:eastAsia="宋体"/>
          <w:b/>
          <w:sz w:val="24"/>
        </w:rPr>
        <w:t>五、推动北京市AI产业扩容与高质量发展的建议</w:t>
      </w:r>
    </w:p>
    <w:p>
      <w:pPr>
        <w:jc w:val="both"/>
      </w:pPr>
      <w:r>
        <w:rPr>
          <w:rFonts w:ascii="Times New Roman" w:hAnsi="Times New Roman" w:eastAsia="宋体"/>
          <w:b w:val="0"/>
          <w:sz w:val="24"/>
        </w:rPr>
        <w:t>一是推动模型企业与国产算力深度适配，以推理降本带动产业持续发展。北京应把支持重点从智算中心规模扩张转向“芯模适配、推理降本、算力调度和能耗约束”。建议支持智谱AI、百度、月之暗面、百川智能、面壁智能等模型企业，与昆仑芯、寒武纪、摩尔线程、清微智能等算力企业建立常态化适配机制，形成模型迁移、算子优化、性能评测、应用验证和成本测算的统一标准。对完成国产推理芯片适配并进入真实场景的企业，可通过算力券、场景订单、测试认证等方式给予支持，避免单纯补贴硬件采购。</w:t>
      </w:r>
    </w:p>
    <w:p>
      <w:pPr>
        <w:jc w:val="both"/>
      </w:pPr>
      <w:r>
        <w:rPr>
          <w:rFonts w:ascii="Times New Roman" w:hAnsi="Times New Roman" w:eastAsia="宋体"/>
          <w:b w:val="0"/>
          <w:sz w:val="24"/>
        </w:rPr>
        <w:t>二是建设高质量合规数据供给体系，缓解模型训练和行业落地的“无米之炊”。国家数据局2026年印发的《关于推进行业高质量数据集建设行动的实施方案》提出，到2028年底建成一批覆盖重点领域、经过应用验证的行业高质量数据集。北京应借势推进市级高质量数据集建设，由网信、经信、科委、政务服务、卫健、教育、交通等部门协同，围绕政务服务、医疗影像、教育文本、交通调度、科研文献、城市治理、舆情分析等优势场景，建设来源合规、版权清晰、可追溯、可授权的行业数据集。对数据使用实行分级分类、脱敏处理、用途登记和责任留痕，既保障个人信息和数据安全，也为企业提供可持续训练和评测资源。</w:t>
      </w:r>
      <w:r>
        <w:rPr>
          <w:rStyle w:val="FootnoteReference"/>
        </w:rPr>
        <w:footnoteReference w:id="49"/>
      </w:r>
    </w:p>
    <w:p>
      <w:pPr>
        <w:jc w:val="both"/>
      </w:pPr>
      <w:r>
        <w:rPr>
          <w:rFonts w:ascii="Times New Roman" w:hAnsi="Times New Roman" w:eastAsia="宋体"/>
          <w:b w:val="0"/>
          <w:sz w:val="24"/>
        </w:rPr>
        <w:t>三是以高价值场景牵引企业商业化，推动北京AI从技术领先转向收入领先。建议围绕政务办公、城市治理、医疗辅助、教育服务、交通管理、科研创新、工业软件、公共安全、网络治理等领域，形成市级“AI高价值场景清单”。对进入清单的项目，不以模型参数和演示效果为主要评价标准，而以实际降本增效、安全可控、用户满意度和可持续付费能力为导向。通过政府首购、国企联合创新、示范区试点、应用评测等方式，帮助北京模型企业和行业AI企业形成稳定订单，避免“演示项目多、真实收入少”。</w:t>
      </w:r>
    </w:p>
    <w:p>
      <w:pPr>
        <w:jc w:val="both"/>
      </w:pPr>
      <w:r>
        <w:rPr>
          <w:rFonts w:ascii="Times New Roman" w:hAnsi="Times New Roman" w:eastAsia="宋体"/>
          <w:b w:val="0"/>
          <w:sz w:val="24"/>
        </w:rPr>
        <w:t>四是建设AI安全治理公共服务平台，提升网信部门技术治理能力。北京作为备案大模型和内容平台集中地，应探索建设市级人工智能安全治理公共服务平台，为企业提供备案辅导、安全评估、红队测试、深度合成标识核验、内容风险检测、Agent行为审计、模型幻觉评测、开源组件漏洞检测等服务。对字节、快手、百度等平台型企业，应重点评估生成式内容与推荐分发叠加后的放大效应；对智谱AI、月之暗面等模型企业，应重点评估训练数据、输出安全、工具调用和Agent执行边界；对行业应用企业，应重点评估数据合规、责任归属和高风险场景使用限制。</w:t>
      </w:r>
    </w:p>
    <w:p>
      <w:pPr>
        <w:jc w:val="both"/>
      </w:pPr>
      <w:r>
        <w:rPr>
          <w:rFonts w:ascii="Times New Roman" w:hAnsi="Times New Roman" w:eastAsia="宋体"/>
          <w:b w:val="0"/>
          <w:sz w:val="24"/>
        </w:rPr>
        <w:t>五是依托中关村人工智能企业出海服务港，建立AI企业出海合规前置机制。建议将出海服务港从一般企业服务平台升级为AI企业出海合规中台，重点面向东盟、中东、拉美、非洲和欧洲等市场建立国别合规指引，提供数据跨境、内容安全、模型输出、知识产权、开源许可、出口管制、隐私保护、算法透明和本地合作伙伴对接等服务。考虑到中国开源模型和低成本AI服务在发展中经济体更具接受度，北京可优先支持模型API、行业智能体、数字营销、跨境电商工具和智能终端方案向“一带一路”共建国家落地。对智谱AI、百度、月之暗面、快手可灵、字节火山引擎、小米、联想、银河通用、梅卡曼德等不同类型企业，应分别提供模型出海、平台出海、AIGC工具出海、智能终端出海和机器人出海的差异化方案。</w:t>
      </w:r>
    </w:p>
    <w:p>
      <w:pPr>
        <w:jc w:val="both"/>
      </w:pPr>
      <w:r>
        <w:rPr>
          <w:rFonts w:ascii="Times New Roman" w:hAnsi="Times New Roman" w:eastAsia="宋体"/>
          <w:b w:val="0"/>
          <w:sz w:val="24"/>
        </w:rPr>
        <w:t>六是实施分类分级监管，避免用单一标准管理全部AI企业。对基础模型企业，监管重点应是训练数据合法性、模型安全评估、输出内容责任、Agent工具调用和国产算力适配情况；对内容平台企业，监管重点应是深度合成标识、版权保护、未成年人保护、虚假营销、推荐算法与生成式AI叠加风险；对数据服务企业，监管重点应是数据来源、个人信息保护、跨境采集和标注供应链合规；对行业应用企业，监管重点应是具体场景中的责任边界、效果验证和高风险误用；对安全治理企业，则应通过标准、测评和政府采购放大其公共服务价值。分类监管既有利于防范风险，也有利于避免“一刀切”挫伤创新。</w:t>
      </w:r>
    </w:p>
    <w:p>
      <w:pPr>
        <w:jc w:val="both"/>
      </w:pPr>
      <w:r>
        <w:rPr>
          <w:rFonts w:ascii="Times New Roman" w:hAnsi="Times New Roman" w:eastAsia="宋体"/>
          <w:b w:val="0"/>
          <w:sz w:val="24"/>
        </w:rPr>
        <w:t>总体看，AI产业链正在成为我国外贸增长的重要新增量，北京分享出口红利的主要方式，不在大规模硬件制造，而在模型创新、平台生态、场景资源、数据治理和安全监管能力向服务出口、软件能力输出和产业链协同能力转化。下一步，北京应避免单纯追求“模型数量”和“融资热度”，而要推动模型更便宜地跑在国产算力上，让高质量数据更合规地流动，让高价值场景形成真实订单，让AI治理和出海合规成为公共服务能力。只有打通这些环节，北京才能在AI拉动外贸增长的背景下，从创新领先进一步走向产业高质量发展和国际竞争主动。</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pPr>
        <w:pStyle w:val="FootnoteText"/>
        <w:spacing w:after="0" w:line="240" w:lineRule="auto"/>
      </w:pPr>
      <w:r>
        <w:rPr>
          <w:rStyle w:val="FootnoteReference"/>
        </w:rPr>
        <w:footnoteRef/>
      </w:r>
      <w:r>
        <w:rPr>
          <w:rFonts w:ascii="Times New Roman" w:hAnsi="Times New Roman" w:eastAsia="宋体"/>
          <w:sz w:val="24"/>
          <w:szCs w:val="24"/>
        </w:rPr>
        <w:t xml:space="preserve"> Federal Reserve：《The Global Trade Effects of the AI Infrastructure Boom》，2026年2月13日，https://www.federalreserve.gov/econres/notes/feds-notes/the-global-trade-effects-of-the-ai-infrastructure-boom-20260213.html</w:t>
      </w:r>
    </w:p>
  </w:footnote>
  <w:footnote w:id="2">
    <w:p>
      <w:pPr>
        <w:pStyle w:val="FootnoteText"/>
        <w:spacing w:after="0" w:line="240" w:lineRule="auto"/>
      </w:pPr>
      <w:r>
        <w:rPr>
          <w:rStyle w:val="FootnoteReference"/>
        </w:rPr>
        <w:footnoteRef/>
      </w:r>
      <w:r>
        <w:rPr>
          <w:rFonts w:ascii="Times New Roman" w:hAnsi="Times New Roman" w:eastAsia="宋体"/>
          <w:sz w:val="24"/>
          <w:szCs w:val="24"/>
        </w:rPr>
        <w:t xml:space="preserve"> 人民网（来源：人民日报）：《人工智能相关产品拉动外贸增长》，2026年5月16日，http://finance.people.com.cn/n1/2026/0516/c1004-40720860.html</w:t>
      </w:r>
    </w:p>
  </w:footnote>
  <w:footnote w:id="3">
    <w:p>
      <w:pPr>
        <w:pStyle w:val="FootnoteText"/>
        <w:spacing w:after="0" w:line="240" w:lineRule="auto"/>
      </w:pPr>
      <w:r>
        <w:rPr>
          <w:rStyle w:val="FootnoteReference"/>
        </w:rPr>
        <w:footnoteRef/>
      </w:r>
      <w:r>
        <w:rPr>
          <w:rFonts w:ascii="Times New Roman" w:hAnsi="Times New Roman" w:eastAsia="宋体"/>
          <w:sz w:val="24"/>
          <w:szCs w:val="24"/>
        </w:rPr>
        <w:t xml:space="preserve"> 第一财经：《AI投资热潮之下外需偏强，中国外贸继续超预期高增长》，2026年6月9日，https://mp.weixin.qq.com/s/fs9XtwLs-WZFUAhIULtIqg</w:t>
      </w:r>
    </w:p>
  </w:footnote>
  <w:footnote w:id="4">
    <w:p>
      <w:pPr>
        <w:pStyle w:val="FootnoteText"/>
        <w:spacing w:after="0" w:line="240" w:lineRule="auto"/>
      </w:pPr>
      <w:r>
        <w:rPr>
          <w:rStyle w:val="FootnoteReference"/>
        </w:rPr>
        <w:footnoteRef/>
      </w:r>
      <w:r>
        <w:rPr>
          <w:rFonts w:ascii="Times New Roman" w:hAnsi="Times New Roman" w:eastAsia="宋体"/>
          <w:sz w:val="24"/>
          <w:szCs w:val="24"/>
        </w:rPr>
        <w:t xml:space="preserve"> 新华网：《北京：创新引领，打造“人工智能第一城”》，2026年3月4日，https://www.news.cn/liangzi/20260304/6b6d162935b84df58ad2144d4e7193c3/c.html</w:t>
      </w:r>
    </w:p>
  </w:footnote>
  <w:footnote w:id="5">
    <w:p>
      <w:pPr>
        <w:pStyle w:val="FootnoteText"/>
        <w:spacing w:after="0" w:line="240" w:lineRule="auto"/>
      </w:pPr>
      <w:r>
        <w:rPr>
          <w:rStyle w:val="FootnoteReference"/>
        </w:rPr>
        <w:footnoteRef/>
      </w:r>
      <w:r>
        <w:rPr>
          <w:rFonts w:ascii="Times New Roman" w:hAnsi="Times New Roman" w:eastAsia="宋体"/>
          <w:sz w:val="24"/>
          <w:szCs w:val="24"/>
        </w:rPr>
        <w:t xml:space="preserve"> 工业和信息化部等：《国家人工智能产业综合标准化体系建设指南（2024版）》，2024年7月，https://www.nanjing.gov.cn/zt/njjkdzznzzsjbydzyfzxzscl/zcjd/202412/P020241218638919140599.pdf</w:t>
      </w:r>
    </w:p>
  </w:footnote>
  <w:footnote w:id="6">
    <w:p>
      <w:pPr>
        <w:pStyle w:val="FootnoteText"/>
        <w:spacing w:after="0" w:line="240" w:lineRule="auto"/>
      </w:pPr>
      <w:r>
        <w:rPr>
          <w:rStyle w:val="FootnoteReference"/>
        </w:rPr>
        <w:footnoteRef/>
      </w:r>
      <w:r>
        <w:rPr>
          <w:rFonts w:ascii="Times New Roman" w:hAnsi="Times New Roman" w:eastAsia="宋体"/>
          <w:sz w:val="24"/>
          <w:szCs w:val="24"/>
        </w:rPr>
        <w:t xml:space="preserve"> Federal Reserve：《The Global Trade Effects of the AI Infrastructure Boom》，2026年2月13日，https://www.federalreserve.gov/econres/notes/feds-notes/the-global-trade-effects-of-the-ai-infrastructure-boom-20260213.html</w:t>
      </w:r>
    </w:p>
  </w:footnote>
  <w:footnote w:id="7">
    <w:p>
      <w:pPr>
        <w:pStyle w:val="FootnoteText"/>
        <w:spacing w:after="0" w:line="240" w:lineRule="auto"/>
      </w:pPr>
      <w:r>
        <w:rPr>
          <w:rStyle w:val="FootnoteReference"/>
        </w:rPr>
        <w:footnoteRef/>
      </w:r>
      <w:r>
        <w:rPr>
          <w:rFonts w:ascii="Times New Roman" w:hAnsi="Times New Roman" w:eastAsia="宋体"/>
          <w:sz w:val="24"/>
          <w:szCs w:val="24"/>
        </w:rPr>
        <w:t xml:space="preserve"> 对外经济贸易大学数字经济实验室：《中国芯片产品贸易月度监测报告》，2026年5月，https://delab.uibe.edu.cn/docs/2026-05/71b10626c88e4e58a130930789d16f53.pdf</w:t>
      </w:r>
    </w:p>
  </w:footnote>
  <w:footnote w:id="8">
    <w:p>
      <w:pPr>
        <w:pStyle w:val="FootnoteText"/>
        <w:spacing w:after="0" w:line="240" w:lineRule="auto"/>
      </w:pPr>
      <w:r>
        <w:rPr>
          <w:rStyle w:val="FootnoteReference"/>
        </w:rPr>
        <w:footnoteRef/>
      </w:r>
      <w:r>
        <w:rPr>
          <w:rFonts w:ascii="Times New Roman" w:hAnsi="Times New Roman" w:eastAsia="宋体"/>
          <w:sz w:val="24"/>
          <w:szCs w:val="24"/>
        </w:rPr>
        <w:t xml:space="preserve"> World Trade Organization：《AI to boost trade by nearly 40% by 2040 if gaps are bridged, World Trade Report finds》，2025年9月15日，https://www.wto.org/english/news_e/news25_e/wtr_15sep25_e.htm</w:t>
      </w:r>
    </w:p>
  </w:footnote>
  <w:footnote w:id="9">
    <w:p>
      <w:pPr>
        <w:pStyle w:val="FootnoteText"/>
        <w:spacing w:after="0" w:line="240" w:lineRule="auto"/>
      </w:pPr>
      <w:r>
        <w:rPr>
          <w:rStyle w:val="FootnoteReference"/>
        </w:rPr>
        <w:footnoteRef/>
      </w:r>
      <w:r>
        <w:rPr>
          <w:rFonts w:ascii="Times New Roman" w:hAnsi="Times New Roman" w:eastAsia="宋体"/>
          <w:sz w:val="24"/>
          <w:szCs w:val="24"/>
        </w:rPr>
        <w:t xml:space="preserve"> Federal Reserve：《The Global Trade Effects of the AI Infrastructure Boom》，2026年2月13日，https://www.federalreserve.gov/econres/notes/feds-notes/the-global-trade-effects-of-the-ai-infrastructure-boom-20260213.html</w:t>
      </w:r>
    </w:p>
  </w:footnote>
  <w:footnote w:id="10">
    <w:p>
      <w:pPr>
        <w:pStyle w:val="FootnoteText"/>
        <w:spacing w:after="0" w:line="240" w:lineRule="auto"/>
      </w:pPr>
      <w:r>
        <w:rPr>
          <w:rStyle w:val="FootnoteReference"/>
        </w:rPr>
        <w:footnoteRef/>
      </w:r>
      <w:r>
        <w:rPr>
          <w:rFonts w:ascii="Times New Roman" w:hAnsi="Times New Roman" w:eastAsia="宋体"/>
          <w:sz w:val="24"/>
          <w:szCs w:val="24"/>
        </w:rPr>
        <w:t xml:space="preserve"> 中金点睛：《中金：AI拉动了多少出口》，2026年1月6日，https://mp.weixin.qq.com/s/hlWIQi0p5PJDpj09bNCBCA</w:t>
      </w:r>
    </w:p>
  </w:footnote>
  <w:footnote w:id="11">
    <w:p>
      <w:pPr>
        <w:pStyle w:val="FootnoteText"/>
        <w:spacing w:after="0" w:line="240" w:lineRule="auto"/>
      </w:pPr>
      <w:r>
        <w:rPr>
          <w:rStyle w:val="FootnoteReference"/>
        </w:rPr>
        <w:footnoteRef/>
      </w:r>
      <w:r>
        <w:rPr>
          <w:rFonts w:ascii="Times New Roman" w:hAnsi="Times New Roman" w:eastAsia="宋体"/>
          <w:sz w:val="24"/>
          <w:szCs w:val="24"/>
        </w:rPr>
        <w:t xml:space="preserve"> 海关总署：《前5月我国货物贸易进出口延续稳定增长》，2026年6月10日，https://www.customs.gov.cn/customs/2026-06/10/article_2026061009140844105.html</w:t>
      </w:r>
    </w:p>
  </w:footnote>
  <w:footnote w:id="12">
    <w:p>
      <w:pPr>
        <w:pStyle w:val="FootnoteText"/>
        <w:spacing w:after="0" w:line="240" w:lineRule="auto"/>
      </w:pPr>
      <w:r>
        <w:rPr>
          <w:rStyle w:val="FootnoteReference"/>
        </w:rPr>
        <w:footnoteRef/>
      </w:r>
      <w:r>
        <w:rPr>
          <w:rFonts w:ascii="Times New Roman" w:hAnsi="Times New Roman" w:eastAsia="宋体"/>
          <w:sz w:val="24"/>
          <w:szCs w:val="24"/>
        </w:rPr>
        <w:t xml:space="preserve"> 海关总署：《前5月我国货物贸易进出口延续稳定增长》，2026年6月10日，https://www.customs.gov.cn/customs/2026-06/10/article_2026061009140844105.html</w:t>
      </w:r>
    </w:p>
  </w:footnote>
  <w:footnote w:id="13">
    <w:p>
      <w:pPr>
        <w:pStyle w:val="FootnoteText"/>
        <w:spacing w:after="0" w:line="240" w:lineRule="auto"/>
      </w:pPr>
      <w:r>
        <w:rPr>
          <w:rStyle w:val="FootnoteReference"/>
        </w:rPr>
        <w:footnoteRef/>
      </w:r>
      <w:r>
        <w:rPr>
          <w:rFonts w:ascii="Times New Roman" w:hAnsi="Times New Roman" w:eastAsia="宋体"/>
          <w:sz w:val="24"/>
          <w:szCs w:val="24"/>
        </w:rPr>
        <w:t xml:space="preserve"> 第一财经：《AI投资热潮之下外需偏强，中国外贸继续超预期高增长》，2026年6月9日，https://mp.weixin.qq.com/s/fs9XtwLs-WZFUAhIULtIqg</w:t>
      </w:r>
    </w:p>
  </w:footnote>
  <w:footnote w:id="14">
    <w:p>
      <w:pPr>
        <w:pStyle w:val="FootnoteText"/>
        <w:spacing w:after="0" w:line="240" w:lineRule="auto"/>
      </w:pPr>
      <w:r>
        <w:rPr>
          <w:rStyle w:val="FootnoteReference"/>
        </w:rPr>
        <w:footnoteRef/>
      </w:r>
      <w:r>
        <w:rPr>
          <w:rFonts w:ascii="Times New Roman" w:hAnsi="Times New Roman" w:eastAsia="宋体"/>
          <w:sz w:val="24"/>
          <w:szCs w:val="24"/>
        </w:rPr>
        <w:t xml:space="preserve"> 人民网（来源：人民日报）：《人工智能相关产品拉动外贸增长》，2026年5月16日，http://finance.people.com.cn/n1/2026/0516/c1004-40720860.html</w:t>
      </w:r>
    </w:p>
  </w:footnote>
  <w:footnote w:id="15">
    <w:p>
      <w:pPr>
        <w:pStyle w:val="FootnoteText"/>
        <w:spacing w:after="0" w:line="240" w:lineRule="auto"/>
      </w:pPr>
      <w:r>
        <w:rPr>
          <w:rStyle w:val="FootnoteReference"/>
        </w:rPr>
        <w:footnoteRef/>
      </w:r>
      <w:r>
        <w:rPr>
          <w:rFonts w:ascii="Times New Roman" w:hAnsi="Times New Roman" w:eastAsia="宋体"/>
          <w:sz w:val="24"/>
          <w:szCs w:val="24"/>
        </w:rPr>
        <w:t xml:space="preserve"> 第一财经：《AI投资热潮之下外需偏强，中国外贸继续超预期高增长》，2026年6月9日，https://mp.weixin.qq.com/s/fs9XtwLs-WZFUAhIULtIqg</w:t>
      </w:r>
    </w:p>
  </w:footnote>
  <w:footnote w:id="16">
    <w:p>
      <w:pPr>
        <w:pStyle w:val="FootnoteText"/>
        <w:spacing w:after="0" w:line="240" w:lineRule="auto"/>
      </w:pPr>
      <w:r>
        <w:rPr>
          <w:rStyle w:val="FootnoteReference"/>
        </w:rPr>
        <w:footnoteRef/>
      </w:r>
      <w:r>
        <w:rPr>
          <w:rFonts w:ascii="Times New Roman" w:hAnsi="Times New Roman" w:eastAsia="宋体"/>
          <w:sz w:val="24"/>
          <w:szCs w:val="24"/>
        </w:rPr>
        <w:t xml:space="preserve"> Federal Reserve：《The Global Trade Effects of the AI Infrastructure Boom》，2026年2月13日，https://www.federalreserve.gov/econres/notes/feds-notes/the-global-trade-effects-of-the-ai-infrastructure-boom-20260213.html</w:t>
      </w:r>
    </w:p>
  </w:footnote>
  <w:footnote w:id="17">
    <w:p>
      <w:pPr>
        <w:pStyle w:val="FootnoteText"/>
        <w:spacing w:after="0" w:line="240" w:lineRule="auto"/>
      </w:pPr>
      <w:r>
        <w:rPr>
          <w:rStyle w:val="FootnoteReference"/>
        </w:rPr>
        <w:footnoteRef/>
      </w:r>
      <w:r>
        <w:rPr>
          <w:rFonts w:ascii="Times New Roman" w:hAnsi="Times New Roman" w:eastAsia="宋体"/>
          <w:sz w:val="24"/>
          <w:szCs w:val="24"/>
        </w:rPr>
        <w:t xml:space="preserve"> 对外经济贸易大学数字经济实验室：《中国芯片产品贸易月度监测报告》，2026年5月，https://delab.uibe.edu.cn/docs/2026-05/71b10626c88e4e58a130930789d16f53.pdf</w:t>
      </w:r>
    </w:p>
  </w:footnote>
  <w:footnote w:id="18">
    <w:p>
      <w:pPr>
        <w:pStyle w:val="FootnoteText"/>
        <w:spacing w:after="0" w:line="240" w:lineRule="auto"/>
      </w:pPr>
      <w:r>
        <w:rPr>
          <w:rStyle w:val="FootnoteReference"/>
        </w:rPr>
        <w:footnoteRef/>
      </w:r>
      <w:r>
        <w:rPr>
          <w:rFonts w:ascii="Times New Roman" w:hAnsi="Times New Roman" w:eastAsia="宋体"/>
          <w:sz w:val="24"/>
          <w:szCs w:val="24"/>
        </w:rPr>
        <w:t xml:space="preserve"> 人民网（来源：人民日报）：《人工智能相关产品拉动外贸增长》，2026年5月16日，http://finance.people.com.cn/n1/2026/0516/c1004-40720860.html</w:t>
      </w:r>
    </w:p>
  </w:footnote>
  <w:footnote w:id="19">
    <w:p>
      <w:pPr>
        <w:pStyle w:val="FootnoteText"/>
        <w:spacing w:after="0" w:line="240" w:lineRule="auto"/>
      </w:pPr>
      <w:r>
        <w:rPr>
          <w:rStyle w:val="FootnoteReference"/>
        </w:rPr>
        <w:footnoteRef/>
      </w:r>
      <w:r>
        <w:rPr>
          <w:rFonts w:ascii="Times New Roman" w:hAnsi="Times New Roman" w:eastAsia="宋体"/>
          <w:sz w:val="24"/>
          <w:szCs w:val="24"/>
        </w:rPr>
        <w:t xml:space="preserve"> 第一财经：《AI投资热潮之下外需偏强，中国外贸继续超预期高增长》，2026年6月9日，https://mp.weixin.qq.com/s/fs9XtwLs-WZFUAhIULtIqg</w:t>
      </w:r>
    </w:p>
  </w:footnote>
  <w:footnote w:id="20">
    <w:p>
      <w:pPr>
        <w:pStyle w:val="FootnoteText"/>
        <w:spacing w:after="0" w:line="240" w:lineRule="auto"/>
      </w:pPr>
      <w:r>
        <w:rPr>
          <w:rStyle w:val="FootnoteReference"/>
        </w:rPr>
        <w:footnoteRef/>
      </w:r>
      <w:r>
        <w:rPr>
          <w:rFonts w:ascii="Times New Roman" w:hAnsi="Times New Roman" w:eastAsia="宋体"/>
          <w:sz w:val="24"/>
          <w:szCs w:val="24"/>
        </w:rPr>
        <w:t xml:space="preserve"> Federal Reserve：《The Global Trade Effects of the AI Infrastructure Boom》，2026年2月13日，https://www.federalreserve.gov/econres/notes/feds-notes/the-global-trade-effects-of-the-ai-infrastructure-boom-20260213.html</w:t>
      </w:r>
    </w:p>
  </w:footnote>
  <w:footnote w:id="21">
    <w:p>
      <w:pPr>
        <w:pStyle w:val="FootnoteText"/>
        <w:spacing w:after="0" w:line="240" w:lineRule="auto"/>
      </w:pPr>
      <w:r>
        <w:rPr>
          <w:rStyle w:val="FootnoteReference"/>
        </w:rPr>
        <w:footnoteRef/>
      </w:r>
      <w:r>
        <w:rPr>
          <w:rFonts w:ascii="Times New Roman" w:hAnsi="Times New Roman" w:eastAsia="宋体"/>
          <w:sz w:val="24"/>
          <w:szCs w:val="24"/>
        </w:rPr>
        <w:t xml:space="preserve"> Federal Reserve：《The Global Trade Effects of the AI Infrastructure Boom》，2026年2月13日，https://www.federalreserve.gov/econres/notes/feds-notes/the-global-trade-effects-of-the-ai-infrastructure-boom-20260213.html</w:t>
      </w:r>
    </w:p>
  </w:footnote>
  <w:footnote w:id="22">
    <w:p>
      <w:pPr>
        <w:pStyle w:val="FootnoteText"/>
        <w:spacing w:after="0" w:line="240" w:lineRule="auto"/>
      </w:pPr>
      <w:r>
        <w:rPr>
          <w:rStyle w:val="FootnoteReference"/>
        </w:rPr>
        <w:footnoteRef/>
      </w:r>
      <w:r>
        <w:rPr>
          <w:rFonts w:ascii="Times New Roman" w:hAnsi="Times New Roman" w:eastAsia="宋体"/>
          <w:sz w:val="24"/>
          <w:szCs w:val="24"/>
        </w:rPr>
        <w:t xml:space="preserve"> 第一财经：《AI投资热潮之下外需偏强，中国外贸继续超预期高增长》，2026年6月9日，https://mp.weixin.qq.com/s/fs9XtwLs-WZFUAhIULtIqg</w:t>
      </w:r>
    </w:p>
  </w:footnote>
  <w:footnote w:id="23">
    <w:p>
      <w:pPr>
        <w:pStyle w:val="FootnoteText"/>
        <w:spacing w:after="0" w:line="240" w:lineRule="auto"/>
      </w:pPr>
      <w:r>
        <w:rPr>
          <w:rStyle w:val="FootnoteReference"/>
        </w:rPr>
        <w:footnoteRef/>
      </w:r>
      <w:r>
        <w:rPr>
          <w:rFonts w:ascii="Times New Roman" w:hAnsi="Times New Roman" w:eastAsia="宋体"/>
          <w:sz w:val="24"/>
          <w:szCs w:val="24"/>
        </w:rPr>
        <w:t xml:space="preserve"> 人民网（来源：人民日报）：《人工智能相关产品拉动外贸增长》，2026年5月16日，http://finance.people.com.cn/n1/2026/0516/c1004-40720860.html</w:t>
      </w:r>
    </w:p>
  </w:footnote>
  <w:footnote w:id="24">
    <w:p>
      <w:pPr>
        <w:pStyle w:val="FootnoteText"/>
        <w:spacing w:after="0" w:line="240" w:lineRule="auto"/>
      </w:pPr>
      <w:r>
        <w:rPr>
          <w:rStyle w:val="FootnoteReference"/>
        </w:rPr>
        <w:footnoteRef/>
      </w:r>
      <w:r>
        <w:rPr>
          <w:rFonts w:ascii="Times New Roman" w:hAnsi="Times New Roman" w:eastAsia="宋体"/>
          <w:sz w:val="24"/>
          <w:szCs w:val="24"/>
        </w:rPr>
        <w:t xml:space="preserve"> 人民网（来源：人民日报）：《人工智能相关产品拉动外贸增长》，2026年5月16日，http://finance.people.com.cn/n1/2026/0516/c1004-40720860.html</w:t>
      </w:r>
    </w:p>
  </w:footnote>
  <w:footnote w:id="25">
    <w:p>
      <w:pPr>
        <w:pStyle w:val="FootnoteText"/>
        <w:spacing w:after="0" w:line="240" w:lineRule="auto"/>
      </w:pPr>
      <w:r>
        <w:rPr>
          <w:rStyle w:val="FootnoteReference"/>
        </w:rPr>
        <w:footnoteRef/>
      </w:r>
      <w:r>
        <w:rPr>
          <w:rFonts w:ascii="Times New Roman" w:hAnsi="Times New Roman" w:eastAsia="宋体"/>
          <w:sz w:val="24"/>
          <w:szCs w:val="24"/>
        </w:rPr>
        <w:t xml:space="preserve"> International Energy Agency：《Energy and AI》，2025年4月，https://www.iea.org/reports/energy-and-ai</w:t>
      </w:r>
    </w:p>
  </w:footnote>
  <w:footnote w:id="26">
    <w:p>
      <w:pPr>
        <w:pStyle w:val="FootnoteText"/>
        <w:spacing w:after="0" w:line="240" w:lineRule="auto"/>
      </w:pPr>
      <w:r>
        <w:rPr>
          <w:rStyle w:val="FootnoteReference"/>
        </w:rPr>
        <w:footnoteRef/>
      </w:r>
      <w:r>
        <w:rPr>
          <w:rFonts w:ascii="Times New Roman" w:hAnsi="Times New Roman" w:eastAsia="宋体"/>
          <w:sz w:val="24"/>
          <w:szCs w:val="24"/>
        </w:rPr>
        <w:t xml:space="preserve"> International Energy Agency：《Energy and AI》，2025年4月，https://www.iea.org/reports/energy-and-ai</w:t>
      </w:r>
    </w:p>
  </w:footnote>
  <w:footnote w:id="27">
    <w:p>
      <w:pPr>
        <w:pStyle w:val="FootnoteText"/>
        <w:spacing w:after="0" w:line="240" w:lineRule="auto"/>
      </w:pPr>
      <w:r>
        <w:rPr>
          <w:rStyle w:val="FootnoteReference"/>
        </w:rPr>
        <w:footnoteRef/>
      </w:r>
      <w:r>
        <w:rPr>
          <w:rFonts w:ascii="Times New Roman" w:hAnsi="Times New Roman" w:eastAsia="宋体"/>
          <w:sz w:val="24"/>
          <w:szCs w:val="24"/>
        </w:rPr>
        <w:t xml:space="preserve"> U.S. Bureau of Industry and Security：《Commerce Strengthens Restrictions on Advanced Computing Semiconductors》，2025年1月，https://www.bis.gov/press-release/commerce-strengthens-restrictions-advanced-computing-semiconductors-enhance-foundry-due-diligence-prevent</w:t>
      </w:r>
    </w:p>
  </w:footnote>
  <w:footnote w:id="28">
    <w:p>
      <w:pPr>
        <w:pStyle w:val="FootnoteText"/>
        <w:spacing w:after="0" w:line="240" w:lineRule="auto"/>
      </w:pPr>
      <w:r>
        <w:rPr>
          <w:rStyle w:val="FootnoteReference"/>
        </w:rPr>
        <w:footnoteRef/>
      </w:r>
      <w:r>
        <w:rPr>
          <w:rFonts w:ascii="Times New Roman" w:hAnsi="Times New Roman" w:eastAsia="宋体"/>
          <w:sz w:val="24"/>
          <w:szCs w:val="24"/>
        </w:rPr>
        <w:t xml:space="preserve"> Federal Reserve：《The Global Trade Effects of the AI Infrastructure Boom》，2026年2月13日，https://www.federalreserve.gov/econres/notes/feds-notes/the-global-trade-effects-of-the-ai-infrastructure-boom-20260213.html</w:t>
      </w:r>
    </w:p>
  </w:footnote>
  <w:footnote w:id="29">
    <w:p>
      <w:pPr>
        <w:pStyle w:val="FootnoteText"/>
        <w:spacing w:after="0" w:line="240" w:lineRule="auto"/>
      </w:pPr>
      <w:r>
        <w:rPr>
          <w:rStyle w:val="FootnoteReference"/>
        </w:rPr>
        <w:footnoteRef/>
      </w:r>
      <w:r>
        <w:rPr>
          <w:rFonts w:ascii="Times New Roman" w:hAnsi="Times New Roman" w:eastAsia="宋体"/>
          <w:sz w:val="24"/>
          <w:szCs w:val="24"/>
        </w:rPr>
        <w:t xml:space="preserve"> 人民网（来源：人民日报）：《人工智能相关产品拉动外贸增长》，2026年5月16日，http://finance.people.com.cn/n1/2026/0516/c1004-40720860.html</w:t>
      </w:r>
    </w:p>
  </w:footnote>
  <w:footnote w:id="30">
    <w:p>
      <w:pPr>
        <w:pStyle w:val="FootnoteText"/>
        <w:spacing w:after="0" w:line="240" w:lineRule="auto"/>
      </w:pPr>
      <w:r>
        <w:rPr>
          <w:rStyle w:val="FootnoteReference"/>
        </w:rPr>
        <w:footnoteRef/>
      </w:r>
      <w:r>
        <w:rPr>
          <w:rFonts w:ascii="Times New Roman" w:hAnsi="Times New Roman" w:eastAsia="宋体"/>
          <w:sz w:val="24"/>
          <w:szCs w:val="24"/>
        </w:rPr>
        <w:t xml:space="preserve"> 中国国际电子商务中心（来源：中国青年报）：《外贸超预期增长 AI味越来越浓》，2026年6月17日，https://mp.weixin.qq.com/s/FgzQCgvc_GI1eYuyb9H-_Q</w:t>
      </w:r>
    </w:p>
  </w:footnote>
  <w:footnote w:id="31">
    <w:p>
      <w:pPr>
        <w:pStyle w:val="FootnoteText"/>
        <w:spacing w:after="0" w:line="240" w:lineRule="auto"/>
      </w:pPr>
      <w:r>
        <w:rPr>
          <w:rStyle w:val="FootnoteReference"/>
        </w:rPr>
        <w:footnoteRef/>
      </w:r>
      <w:r>
        <w:rPr>
          <w:rFonts w:ascii="Times New Roman" w:hAnsi="Times New Roman" w:eastAsia="宋体"/>
          <w:sz w:val="24"/>
          <w:szCs w:val="24"/>
        </w:rPr>
        <w:t xml:space="preserve"> 第一财经：《AI投资热潮之下外需偏强，中国外贸继续超预期高增长》，2026年6月9日，https://mp.weixin.qq.com/s/fs9XtwLs-WZFUAhIULtIqg</w:t>
      </w:r>
    </w:p>
  </w:footnote>
  <w:footnote w:id="32">
    <w:p>
      <w:pPr>
        <w:pStyle w:val="FootnoteText"/>
        <w:spacing w:after="0" w:line="240" w:lineRule="auto"/>
      </w:pPr>
      <w:r>
        <w:rPr>
          <w:rStyle w:val="FootnoteReference"/>
        </w:rPr>
        <w:footnoteRef/>
      </w:r>
      <w:r>
        <w:rPr>
          <w:rFonts w:ascii="Times New Roman" w:hAnsi="Times New Roman" w:eastAsia="宋体"/>
          <w:sz w:val="24"/>
          <w:szCs w:val="24"/>
        </w:rPr>
        <w:t xml:space="preserve"> 人民网（来源：人民日报）：《人工智能相关产品拉动外贸增长》，2026年5月16日，http://finance.people.com.cn/n1/2026/0516/c1004-40720860.html</w:t>
      </w:r>
    </w:p>
  </w:footnote>
  <w:footnote w:id="33">
    <w:p>
      <w:pPr>
        <w:pStyle w:val="FootnoteText"/>
        <w:spacing w:after="0" w:line="240" w:lineRule="auto"/>
      </w:pPr>
      <w:r>
        <w:rPr>
          <w:rStyle w:val="FootnoteReference"/>
        </w:rPr>
        <w:footnoteRef/>
      </w:r>
      <w:r>
        <w:rPr>
          <w:rFonts w:ascii="Times New Roman" w:hAnsi="Times New Roman" w:eastAsia="宋体"/>
          <w:sz w:val="24"/>
          <w:szCs w:val="24"/>
        </w:rPr>
        <w:t xml:space="preserve"> U.S. Bureau of Industry and Security：《Commerce Strengthens Restrictions on Advanced Computing Semiconductors》，2025年1月，https://www.bis.gov/press-release/commerce-strengthens-restrictions-advanced-computing-semiconductors-enhance-foundry-due-diligence-prevent</w:t>
      </w:r>
    </w:p>
  </w:footnote>
  <w:footnote w:id="34">
    <w:p>
      <w:pPr>
        <w:pStyle w:val="FootnoteText"/>
        <w:spacing w:after="0" w:line="240" w:lineRule="auto"/>
      </w:pPr>
      <w:r>
        <w:rPr>
          <w:rStyle w:val="FootnoteReference"/>
        </w:rPr>
        <w:footnoteRef/>
      </w:r>
      <w:r>
        <w:rPr>
          <w:rFonts w:ascii="Times New Roman" w:hAnsi="Times New Roman" w:eastAsia="宋体"/>
          <w:sz w:val="24"/>
          <w:szCs w:val="24"/>
        </w:rPr>
        <w:t xml:space="preserve"> 中国日报网：《2025北京人工智能产业白皮书重磅发布，全年核心产值将超4500亿！》，2025年11月30日，https://bj.chinadaily.com.cn/a/202511/30/WS692be210a310942cc49941bc.html</w:t>
      </w:r>
    </w:p>
  </w:footnote>
  <w:footnote w:id="35">
    <w:p>
      <w:pPr>
        <w:pStyle w:val="FootnoteText"/>
        <w:spacing w:after="0" w:line="240" w:lineRule="auto"/>
      </w:pPr>
      <w:r>
        <w:rPr>
          <w:rStyle w:val="FootnoteReference"/>
        </w:rPr>
        <w:footnoteRef/>
      </w:r>
      <w:r>
        <w:rPr>
          <w:rFonts w:ascii="Times New Roman" w:hAnsi="Times New Roman" w:eastAsia="宋体"/>
          <w:sz w:val="24"/>
          <w:szCs w:val="24"/>
        </w:rPr>
        <w:t xml:space="preserve"> 新华网：《北京：创新引领，打造“人工智能第一城”》，2026年3月4日，https://www.news.cn/liangzi/20260304/6b6d162935b84df58ad2144d4e7193c3/c.html</w:t>
      </w:r>
    </w:p>
  </w:footnote>
  <w:footnote w:id="36">
    <w:p>
      <w:pPr>
        <w:pStyle w:val="FootnoteText"/>
        <w:spacing w:after="0" w:line="240" w:lineRule="auto"/>
      </w:pPr>
      <w:r>
        <w:rPr>
          <w:rStyle w:val="FootnoteReference"/>
        </w:rPr>
        <w:footnoteRef/>
      </w:r>
      <w:r>
        <w:rPr>
          <w:rFonts w:ascii="Times New Roman" w:hAnsi="Times New Roman" w:eastAsia="宋体"/>
          <w:sz w:val="24"/>
          <w:szCs w:val="24"/>
        </w:rPr>
        <w:t xml:space="preserve"> 百度投资者关系：《Baidu Announces First Quarter 2026 Results》，2026年5月18日，https://ir.baidu.com/news-releases/news-release-details/baidu-announces-first-quarter-2026-results</w:t>
      </w:r>
    </w:p>
  </w:footnote>
  <w:footnote w:id="37">
    <w:p>
      <w:pPr>
        <w:pStyle w:val="FootnoteText"/>
        <w:spacing w:after="0" w:line="240" w:lineRule="auto"/>
      </w:pPr>
      <w:r>
        <w:rPr>
          <w:rStyle w:val="FootnoteReference"/>
        </w:rPr>
        <w:footnoteRef/>
      </w:r>
      <w:r>
        <w:rPr>
          <w:rFonts w:ascii="Times New Roman" w:hAnsi="Times New Roman" w:eastAsia="宋体"/>
          <w:sz w:val="24"/>
          <w:szCs w:val="24"/>
        </w:rPr>
        <w:t xml:space="preserve"> 快手科技：《Kuaishou Technology Announces First Quarter 2026 Unaudited Financial Results》，2026年5月27日，https://www.prnewswire.com/apac/news-releases/kuaishou-technology-announces-first-quarter-2026-unaudited-financial-results-302782902.html</w:t>
      </w:r>
    </w:p>
  </w:footnote>
  <w:footnote w:id="38">
    <w:p>
      <w:pPr>
        <w:pStyle w:val="FootnoteText"/>
        <w:spacing w:after="0" w:line="240" w:lineRule="auto"/>
      </w:pPr>
      <w:r>
        <w:rPr>
          <w:rStyle w:val="FootnoteReference"/>
        </w:rPr>
        <w:footnoteRef/>
      </w:r>
      <w:r>
        <w:rPr>
          <w:rFonts w:ascii="Times New Roman" w:hAnsi="Times New Roman" w:eastAsia="宋体"/>
          <w:sz w:val="24"/>
          <w:szCs w:val="24"/>
        </w:rPr>
        <w:t xml:space="preserve"> 清华大学：《我国首个长时长、高一致性、高动态性视频大模型Vidu发布》，2024年4月，https://www.tsinghua.edu.cn/info/1182/113034.htm</w:t>
      </w:r>
    </w:p>
  </w:footnote>
  <w:footnote w:id="39">
    <w:p>
      <w:pPr>
        <w:pStyle w:val="FootnoteText"/>
        <w:spacing w:after="0" w:line="240" w:lineRule="auto"/>
      </w:pPr>
      <w:r>
        <w:rPr>
          <w:rStyle w:val="FootnoteReference"/>
        </w:rPr>
        <w:footnoteRef/>
      </w:r>
      <w:r>
        <w:rPr>
          <w:rFonts w:ascii="Times New Roman" w:hAnsi="Times New Roman" w:eastAsia="宋体"/>
          <w:sz w:val="24"/>
          <w:szCs w:val="24"/>
        </w:rPr>
        <w:t xml:space="preserve"> 北京市科学技术委员会、中关村科技园区管理委员会：《北京打造“全球人工智能第一城”》，2026年1月6日，https://kw.beijing.gov.cn/xwdt/kcyx/xwdtcyfz/202601/t20260106_4403519.html</w:t>
      </w:r>
    </w:p>
  </w:footnote>
  <w:footnote w:id="40">
    <w:p>
      <w:pPr>
        <w:pStyle w:val="FootnoteText"/>
        <w:spacing w:after="0" w:line="240" w:lineRule="auto"/>
      </w:pPr>
      <w:r>
        <w:rPr>
          <w:rStyle w:val="FootnoteReference"/>
        </w:rPr>
        <w:footnoteRef/>
      </w:r>
      <w:r>
        <w:rPr>
          <w:rFonts w:ascii="Times New Roman" w:hAnsi="Times New Roman" w:eastAsia="宋体"/>
          <w:sz w:val="24"/>
          <w:szCs w:val="24"/>
        </w:rPr>
        <w:t xml:space="preserve"> 地平线：《关于我们》，https://www.horizon.auto/about</w:t>
      </w:r>
    </w:p>
  </w:footnote>
  <w:footnote w:id="41">
    <w:p>
      <w:pPr>
        <w:pStyle w:val="FootnoteText"/>
        <w:spacing w:after="0" w:line="240" w:lineRule="auto"/>
      </w:pPr>
      <w:r>
        <w:rPr>
          <w:rStyle w:val="FootnoteReference"/>
        </w:rPr>
        <w:footnoteRef/>
      </w:r>
      <w:r>
        <w:rPr>
          <w:rFonts w:ascii="Times New Roman" w:hAnsi="Times New Roman" w:eastAsia="宋体"/>
          <w:sz w:val="24"/>
          <w:szCs w:val="24"/>
        </w:rPr>
        <w:t xml:space="preserve"> 北京市科学技术委员会、中关村科技园区管理委员会：《后摩智能全国总部落地北京经开区》，2026年3月19日，https://kw.beijing.gov.cn/xwdt/kcyx/xwdtyqqy/202603/t20260319_4561080.html</w:t>
      </w:r>
    </w:p>
  </w:footnote>
  <w:footnote w:id="42">
    <w:p>
      <w:pPr>
        <w:pStyle w:val="FootnoteText"/>
        <w:spacing w:after="0" w:line="240" w:lineRule="auto"/>
      </w:pPr>
      <w:r>
        <w:rPr>
          <w:rStyle w:val="FootnoteReference"/>
        </w:rPr>
        <w:footnoteRef/>
      </w:r>
      <w:r>
        <w:rPr>
          <w:rFonts w:ascii="Times New Roman" w:hAnsi="Times New Roman" w:eastAsia="宋体"/>
          <w:sz w:val="24"/>
          <w:szCs w:val="24"/>
        </w:rPr>
        <w:t xml:space="preserve"> 星动纪元：《关于我们》，https://www.robotera.com/about</w:t>
      </w:r>
    </w:p>
  </w:footnote>
  <w:footnote w:id="43">
    <w:p>
      <w:pPr>
        <w:pStyle w:val="FootnoteText"/>
        <w:spacing w:after="0" w:line="240" w:lineRule="auto"/>
      </w:pPr>
      <w:r>
        <w:rPr>
          <w:rStyle w:val="FootnoteReference"/>
        </w:rPr>
        <w:footnoteRef/>
      </w:r>
      <w:r>
        <w:rPr>
          <w:rFonts w:ascii="Times New Roman" w:hAnsi="Times New Roman" w:eastAsia="宋体"/>
          <w:sz w:val="24"/>
          <w:szCs w:val="24"/>
        </w:rPr>
        <w:t xml:space="preserve"> 小马智行：《关于小马智行》，https://pony.ai/story?lang=zh</w:t>
      </w:r>
    </w:p>
  </w:footnote>
  <w:footnote w:id="44">
    <w:p>
      <w:pPr>
        <w:pStyle w:val="FootnoteText"/>
        <w:spacing w:after="0" w:line="240" w:lineRule="auto"/>
      </w:pPr>
      <w:r>
        <w:rPr>
          <w:rStyle w:val="FootnoteReference"/>
        </w:rPr>
        <w:footnoteRef/>
      </w:r>
      <w:r>
        <w:rPr>
          <w:rFonts w:ascii="Times New Roman" w:hAnsi="Times New Roman" w:eastAsia="宋体"/>
          <w:sz w:val="24"/>
          <w:szCs w:val="24"/>
        </w:rPr>
        <w:t xml:space="preserve"> 商务部服贸司：《商务部服贸司负责人介绍2025年服务贸易发展情况》，2026年2月，https://data.mofcom.gov.cn/article/zxtj/202602/64274.html</w:t>
      </w:r>
    </w:p>
  </w:footnote>
  <w:footnote w:id="45">
    <w:p>
      <w:pPr>
        <w:pStyle w:val="FootnoteText"/>
        <w:spacing w:after="0" w:line="240" w:lineRule="auto"/>
      </w:pPr>
      <w:r>
        <w:rPr>
          <w:rStyle w:val="FootnoteReference"/>
        </w:rPr>
        <w:footnoteRef/>
      </w:r>
      <w:r>
        <w:rPr>
          <w:rFonts w:ascii="Times New Roman" w:hAnsi="Times New Roman" w:eastAsia="宋体"/>
          <w:sz w:val="24"/>
          <w:szCs w:val="24"/>
        </w:rPr>
        <w:t xml:space="preserve"> 中金点睛：《中金：AI拉动了多少出口》，2026年1月6日，https://mp.weixin.qq.com/s/hlWIQi0p5PJDpj09bNCBCA</w:t>
      </w:r>
    </w:p>
  </w:footnote>
  <w:footnote w:id="46">
    <w:p>
      <w:pPr>
        <w:pStyle w:val="FootnoteText"/>
        <w:spacing w:after="0" w:line="240" w:lineRule="auto"/>
      </w:pPr>
      <w:r>
        <w:rPr>
          <w:rStyle w:val="FootnoteReference"/>
        </w:rPr>
        <w:footnoteRef/>
      </w:r>
      <w:r>
        <w:rPr>
          <w:rFonts w:ascii="Times New Roman" w:hAnsi="Times New Roman" w:eastAsia="宋体"/>
          <w:sz w:val="24"/>
          <w:szCs w:val="24"/>
        </w:rPr>
        <w:t xml:space="preserve"> 北京国际科技创新中心：《破解企业出海困局，北京首批“中关村人工智能企业出海服务港”设立！》，2025年11月17日，https://www.ncsti.gov.cn/kjdt/xwjj/202511/t20251117_225370.html</w:t>
      </w:r>
    </w:p>
  </w:footnote>
  <w:footnote w:id="47">
    <w:p>
      <w:pPr>
        <w:pStyle w:val="FootnoteText"/>
        <w:spacing w:after="0" w:line="240" w:lineRule="auto"/>
      </w:pPr>
      <w:r>
        <w:rPr>
          <w:rStyle w:val="FootnoteReference"/>
        </w:rPr>
        <w:footnoteRef/>
      </w:r>
      <w:r>
        <w:rPr>
          <w:rFonts w:ascii="Times New Roman" w:hAnsi="Times New Roman" w:eastAsia="宋体"/>
          <w:sz w:val="24"/>
          <w:szCs w:val="24"/>
        </w:rPr>
        <w:t xml:space="preserve"> 中金点睛：《中金：AI拉动了多少出口》，2026年1月6日，https://mp.weixin.qq.com/s/hlWIQi0p5PJDpj09bNCBCA</w:t>
      </w:r>
    </w:p>
  </w:footnote>
  <w:footnote w:id="48">
    <w:p>
      <w:pPr>
        <w:pStyle w:val="FootnoteText"/>
        <w:spacing w:after="0" w:line="240" w:lineRule="auto"/>
      </w:pPr>
      <w:r>
        <w:rPr>
          <w:rStyle w:val="FootnoteReference"/>
        </w:rPr>
        <w:footnoteRef/>
      </w:r>
      <w:r>
        <w:rPr>
          <w:rFonts w:ascii="Times New Roman" w:hAnsi="Times New Roman" w:eastAsia="宋体"/>
          <w:sz w:val="24"/>
          <w:szCs w:val="24"/>
        </w:rPr>
        <w:t xml:space="preserve"> 国家互联网信息办公室等：《人工智能生成合成内容标识办法》，2025年3月14日，https://www.cac.gov.cn/2025-03/14/c_1743654684782215.htm</w:t>
      </w:r>
    </w:p>
  </w:footnote>
  <w:footnote w:id="49">
    <w:p>
      <w:pPr>
        <w:pStyle w:val="FootnoteText"/>
        <w:spacing w:after="0" w:line="240" w:lineRule="auto"/>
      </w:pPr>
      <w:r>
        <w:rPr>
          <w:rStyle w:val="FootnoteReference"/>
        </w:rPr>
        <w:footnoteRef/>
      </w:r>
      <w:r>
        <w:rPr>
          <w:rFonts w:ascii="Times New Roman" w:hAnsi="Times New Roman" w:eastAsia="宋体"/>
          <w:sz w:val="24"/>
          <w:szCs w:val="24"/>
        </w:rPr>
        <w:t xml:space="preserve"> 国家数据局：《关于推进行业高质量数据集建设行动的实施方案》，2026年6月8日，https://www.nda.gov.cn/sjj/zwgk/tzgg/0608/20260608172117399715004_pc.html</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宋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ind w:firstLine="0"/>
      <w:outlineLvl w:val="1"/>
    </w:pPr>
    <w:rPr>
      <w:rFonts w:asciiTheme="majorHAnsi" w:eastAsiaTheme="majorEastAsia" w:hAnsiTheme="majorHAnsi" w:cstheme="majorBidi" w:ascii="Times New Roman" w:hAnsi="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ind w:firstLine="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