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F498C">
      <w:pPr>
        <w:pStyle w:val="164"/>
        <w:widowControl w:val="0"/>
      </w:pPr>
      <w:r>
        <w:rPr>
          <w:rFonts w:ascii="方正大标宋简体" w:hAnsi="方正大标宋简体" w:eastAsia="方正大标宋简体" w:cs="方正大标宋简体"/>
          <w:b w:val="0"/>
          <w:sz w:val="44"/>
          <w:lang w:val="zh-CN" w:eastAsia="zh-CN"/>
        </w:rPr>
        <w:t>意识形态周报</w:t>
      </w:r>
    </w:p>
    <w:p w14:paraId="7F06B65E">
      <w:pPr>
        <w:pStyle w:val="165"/>
        <w:widowControl w:val="0"/>
      </w:pPr>
    </w:p>
    <w:p w14:paraId="518419DE">
      <w:pPr>
        <w:pStyle w:val="167"/>
        <w:widowControl w:val="0"/>
      </w:pPr>
      <w:r>
        <w:rPr>
          <w:rFonts w:ascii="仿宋_GB2312" w:hAnsi="仿宋_GB2312" w:eastAsia="仿宋_GB2312" w:cs="仿宋_GB2312"/>
          <w:b w:val="0"/>
          <w:sz w:val="32"/>
          <w:lang w:val="zh-CN" w:eastAsia="zh-CN"/>
        </w:rPr>
        <w:t>2026年6月17日至6月24日，涉“海淀”信息总量达16.18万条。本周区域舆情呈现“营商服务获肯定、教育招考受关注、平台治理争议</w:t>
      </w:r>
      <w:r>
        <w:rPr>
          <w:rFonts w:hint="eastAsia" w:cs="仿宋_GB2312"/>
          <w:b w:val="0"/>
          <w:sz w:val="32"/>
          <w:lang w:val="en-US" w:eastAsia="zh-CN"/>
        </w:rPr>
        <w:t>升温</w:t>
      </w:r>
      <w:r>
        <w:rPr>
          <w:rFonts w:ascii="仿宋_GB2312" w:hAnsi="仿宋_GB2312" w:eastAsia="仿宋_GB2312" w:cs="仿宋_GB2312"/>
          <w:b w:val="0"/>
          <w:sz w:val="32"/>
          <w:lang w:val="zh-CN" w:eastAsia="zh-CN"/>
        </w:rPr>
        <w:t>”的态势。正向层面，海淀13部门组建民营经济势能服务团、中考护航等举措获得肯定；负向层面，小米电视误发地震预警、美团被曝有偿征集友商负面信息，引发对公共预警边界、平台竞争秩序和商户权益保护的讨论。下周需重点关注七一节点网络</w:t>
      </w:r>
      <w:r>
        <w:rPr>
          <w:rFonts w:hint="eastAsia" w:cs="仿宋_GB2312"/>
          <w:b w:val="0"/>
          <w:sz w:val="32"/>
          <w:lang w:val="en-US" w:eastAsia="zh-CN"/>
        </w:rPr>
        <w:t>秩序</w:t>
      </w:r>
      <w:r>
        <w:rPr>
          <w:rFonts w:ascii="仿宋_GB2312" w:hAnsi="仿宋_GB2312" w:eastAsia="仿宋_GB2312" w:cs="仿宋_GB2312"/>
          <w:b w:val="0"/>
          <w:sz w:val="32"/>
          <w:lang w:val="zh-CN" w:eastAsia="zh-CN"/>
        </w:rPr>
        <w:t>、教育招考关键环节和高温汛期叠加夜间观赛等风险。</w:t>
      </w:r>
    </w:p>
    <w:p w14:paraId="595415E7">
      <w:pPr>
        <w:pStyle w:val="170"/>
        <w:widowControl w:val="0"/>
      </w:pPr>
      <w:r>
        <w:drawing>
          <wp:inline distT="0" distB="0" distL="114300" distR="114300">
            <wp:extent cx="5267960" cy="1588770"/>
            <wp:effectExtent l="9525" t="9525" r="18415"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7960" cy="1588770"/>
                    </a:xfrm>
                    <a:prstGeom prst="rect">
                      <a:avLst/>
                    </a:prstGeom>
                    <a:noFill/>
                    <a:ln>
                      <a:solidFill>
                        <a:schemeClr val="bg1">
                          <a:lumMod val="85000"/>
                        </a:schemeClr>
                      </a:solidFill>
                    </a:ln>
                  </pic:spPr>
                </pic:pic>
              </a:graphicData>
            </a:graphic>
          </wp:inline>
        </w:drawing>
      </w:r>
    </w:p>
    <w:p w14:paraId="2A8EBD48">
      <w:pPr>
        <w:pStyle w:val="166"/>
        <w:widowControl w:val="0"/>
      </w:pPr>
      <w:r>
        <w:rPr>
          <w:rFonts w:ascii="黑体" w:hAnsi="黑体" w:eastAsia="黑体" w:cs="黑体"/>
          <w:b w:val="0"/>
          <w:sz w:val="32"/>
          <w:lang w:val="zh-CN" w:eastAsia="zh-CN"/>
        </w:rPr>
        <w:t>一、本周重点及敏感事件</w:t>
      </w:r>
    </w:p>
    <w:p w14:paraId="3541C7B9">
      <w:pPr>
        <w:pStyle w:val="167"/>
        <w:widowControl w:val="0"/>
      </w:pPr>
      <w:r>
        <w:rPr>
          <w:rFonts w:ascii="仿宋_GB2312" w:hAnsi="仿宋_GB2312" w:eastAsia="仿宋_GB2312" w:cs="仿宋_GB2312"/>
          <w:b/>
          <w:sz w:val="32"/>
          <w:lang w:val="zh-CN" w:eastAsia="zh-CN"/>
        </w:rPr>
        <w:t>一是海淀区13部门联合组建民营经济势能服务团，区域营商环境升级获舆论肯定。</w:t>
      </w:r>
      <w:r>
        <w:rPr>
          <w:rFonts w:ascii="仿宋_GB2312" w:hAnsi="仿宋_GB2312" w:eastAsia="仿宋_GB2312" w:cs="仿宋_GB2312"/>
          <w:b w:val="0"/>
          <w:sz w:val="32"/>
          <w:lang w:val="zh-CN" w:eastAsia="zh-CN"/>
        </w:rPr>
        <w:t>6月17日，海淀区举办“势起民营 赋能新程”民营经济势能提升大会，由区市场监管局与工商联牵头，联合中关村科学城管委会、区发改委等13家单位，正式揭牌成立“海淀区民营经济势能服务团”。舆论主要聚焦三方面：一是肯定海淀以多部门组团服务方式回应企业全生命周期需求，体现营商环境从“政策供给”向“精准陪跑”转变；二是关注民营企业在人工智能、集成电路等重点赛道中的创新活力，认为区域产业生态对企业成长形成支撑；三是</w:t>
      </w:r>
      <w:r>
        <w:rPr>
          <w:rFonts w:hint="eastAsia" w:cs="仿宋_GB2312"/>
          <w:b w:val="0"/>
          <w:sz w:val="32"/>
          <w:lang w:val="en-US" w:eastAsia="zh-CN"/>
        </w:rPr>
        <w:t>部分</w:t>
      </w:r>
      <w:r>
        <w:rPr>
          <w:rFonts w:ascii="仿宋_GB2312" w:hAnsi="仿宋_GB2312" w:eastAsia="仿宋_GB2312" w:cs="仿宋_GB2312"/>
          <w:b w:val="0"/>
          <w:sz w:val="32"/>
          <w:lang w:val="zh-CN" w:eastAsia="zh-CN"/>
        </w:rPr>
        <w:t>讨论延伸至中小微企业能否平等享受政策红利，提示后续需持续关注扶持资源覆盖面、申报透明度和政策落地</w:t>
      </w:r>
      <w:r>
        <w:rPr>
          <w:rFonts w:hint="eastAsia" w:cs="仿宋_GB2312"/>
          <w:b w:val="0"/>
          <w:sz w:val="32"/>
          <w:lang w:val="en-US" w:eastAsia="zh-CN"/>
        </w:rPr>
        <w:t>效果</w:t>
      </w:r>
      <w:r>
        <w:rPr>
          <w:rFonts w:ascii="仿宋_GB2312" w:hAnsi="仿宋_GB2312" w:eastAsia="仿宋_GB2312" w:cs="仿宋_GB2312"/>
          <w:b w:val="0"/>
          <w:sz w:val="32"/>
          <w:lang w:val="zh-CN" w:eastAsia="zh-CN"/>
        </w:rPr>
        <w:t>。</w:t>
      </w:r>
    </w:p>
    <w:p w14:paraId="57113190">
      <w:pPr>
        <w:pStyle w:val="167"/>
        <w:widowControl w:val="0"/>
      </w:pPr>
      <w:r>
        <w:rPr>
          <w:rFonts w:ascii="仿宋_GB2312" w:hAnsi="仿宋_GB2312" w:eastAsia="仿宋_GB2312" w:cs="仿宋_GB2312"/>
          <w:b/>
          <w:sz w:val="32"/>
          <w:lang w:val="zh-CN" w:eastAsia="zh-CN"/>
        </w:rPr>
        <w:t>二是北京中考开考，海淀47个考点多部门护航获好评，考生规模扩大推升考后升学焦虑。</w:t>
      </w:r>
      <w:r>
        <w:rPr>
          <w:rFonts w:ascii="仿宋_GB2312" w:hAnsi="仿宋_GB2312" w:eastAsia="仿宋_GB2312" w:cs="仿宋_GB2312"/>
          <w:b w:val="0"/>
          <w:sz w:val="32"/>
          <w:lang w:val="zh-CN" w:eastAsia="zh-CN"/>
        </w:rPr>
        <w:t>6月24日，北京中考</w:t>
      </w:r>
      <w:r>
        <w:rPr>
          <w:rFonts w:hint="eastAsia" w:cs="仿宋_GB2312"/>
          <w:b w:val="0"/>
          <w:sz w:val="32"/>
          <w:lang w:val="en-US" w:eastAsia="zh-CN"/>
        </w:rPr>
        <w:t>开考</w:t>
      </w:r>
      <w:r>
        <w:rPr>
          <w:rFonts w:ascii="仿宋_GB2312" w:hAnsi="仿宋_GB2312" w:eastAsia="仿宋_GB2312" w:cs="仿宋_GB2312"/>
          <w:b w:val="0"/>
          <w:sz w:val="32"/>
          <w:lang w:val="zh-CN" w:eastAsia="zh-CN"/>
        </w:rPr>
        <w:t>，海淀区设47个考点，占全市近五分之一。区城管启动“静心2026”专项行动，公安、交管、卫健等多部门联勤联动，地铁开通“三优通道”、公交加密发车，考点周边秩序维护、降噪护考和应急服务受到媒体和市民肯定。舆论关注主要集中在三方面：一是家长和考生对交通疏导、噪声管控、证件补办等保障措施评价较正面；二是考生人数增加背景下，录取位次、分数线波动和志愿梯度安排成为家长群讨论重点；三是</w:t>
      </w:r>
      <w:r>
        <w:rPr>
          <w:rFonts w:ascii="仿宋_GB2312" w:hAnsi="仿宋_GB2312" w:eastAsia="仿宋_GB2312" w:cs="仿宋_GB2312"/>
          <w:b w:val="0"/>
          <w:sz w:val="32"/>
          <w:szCs w:val="22"/>
          <w:lang w:val="zh-CN" w:eastAsia="zh-CN" w:bidi="ar-SA"/>
        </w:rPr>
        <w:t>考试结束后将进入阅卷、成绩发布和志愿咨询阶段，家长自发估分、分数线预测和培训机构焦虑营销</w:t>
      </w:r>
      <w:r>
        <w:rPr>
          <w:rFonts w:ascii="仿宋_GB2312" w:hAnsi="仿宋_GB2312" w:eastAsia="仿宋_GB2312" w:cs="仿宋_GB2312"/>
          <w:b w:val="0"/>
          <w:sz w:val="32"/>
          <w:lang w:val="zh-CN" w:eastAsia="zh-CN"/>
        </w:rPr>
        <w:t>可能继续在微信群、小红书等渠道扩散。需引导相关信息以权威发布为准，防止个别传言放大升学焦虑。</w:t>
      </w:r>
    </w:p>
    <w:p w14:paraId="73F456BE">
      <w:pPr>
        <w:pStyle w:val="167"/>
        <w:widowControl w:val="0"/>
      </w:pPr>
      <w:r>
        <w:rPr>
          <w:rFonts w:ascii="仿宋_GB2312" w:hAnsi="仿宋_GB2312" w:eastAsia="仿宋_GB2312" w:cs="仿宋_GB2312"/>
          <w:b/>
          <w:sz w:val="32"/>
          <w:lang w:val="zh-CN" w:eastAsia="zh-CN"/>
        </w:rPr>
        <w:t>三是小米电视误报“海淀5.0级地震”，智能设备公共预警边界引发讨论。</w:t>
      </w:r>
      <w:r>
        <w:rPr>
          <w:rFonts w:ascii="仿宋_GB2312" w:hAnsi="仿宋_GB2312" w:eastAsia="仿宋_GB2312" w:cs="仿宋_GB2312"/>
          <w:b w:val="0"/>
          <w:sz w:val="32"/>
          <w:lang w:val="zh-CN" w:eastAsia="zh-CN"/>
        </w:rPr>
        <w:t>6月23日晚，北京部分小米电视用户收到“海淀发生5.0级地震（蓝色预警）”弹窗提醒，随后</w:t>
      </w:r>
      <w:r>
        <w:rPr>
          <w:rFonts w:hint="eastAsia" w:ascii="仿宋_GB2312" w:hAnsi="仿宋_GB2312" w:eastAsia="仿宋_GB2312" w:cs="仿宋_GB2312"/>
          <w:b w:val="0"/>
          <w:sz w:val="32"/>
          <w:lang w:val="zh-CN" w:eastAsia="zh-CN"/>
        </w:rPr>
        <w:t>海淀区地震局</w:t>
      </w:r>
      <w:r>
        <w:rPr>
          <w:rFonts w:ascii="仿宋_GB2312" w:hAnsi="仿宋_GB2312" w:eastAsia="仿宋_GB2312" w:cs="仿宋_GB2312"/>
          <w:b w:val="0"/>
          <w:sz w:val="32"/>
          <w:lang w:val="zh-CN" w:eastAsia="zh-CN"/>
        </w:rPr>
        <w:t>回应并无地震，</w:t>
      </w:r>
      <w:r>
        <w:rPr>
          <w:rFonts w:hint="eastAsia" w:cs="仿宋_GB2312"/>
          <w:b w:val="0"/>
          <w:sz w:val="32"/>
          <w:lang w:val="en-US" w:eastAsia="zh-CN"/>
        </w:rPr>
        <w:t>小米官方</w:t>
      </w:r>
      <w:r>
        <w:rPr>
          <w:rFonts w:ascii="仿宋_GB2312" w:hAnsi="仿宋_GB2312" w:eastAsia="仿宋_GB2312" w:cs="仿宋_GB2312"/>
          <w:b w:val="0"/>
          <w:sz w:val="32"/>
          <w:lang w:val="zh-CN" w:eastAsia="zh-CN"/>
        </w:rPr>
        <w:t>发布致歉说明，称系内部功能测试时操作失误，将模拟测试数据误推至线上环境。用户在社交平台反映，突发弹窗、强提醒音和短时间内难以关闭等体验造成一定惊扰。舆论焦点集中在两方面：一是智能电视、音箱等家庭终端具备强触达属性，预警机制应设置误触发兜底和人工复核环节；二是企业测试信息不应进入面向公众的正式触达链路，测试环境与生产环境隔离、发布审核和应急撤回机制需要进一步完善。该事件若后续解释和整改不充分，易从单一产品故障扩散为对智能家居安全、公共预警治理和企业数据发布流程的质疑。</w:t>
      </w:r>
    </w:p>
    <w:p w14:paraId="7743B8DA">
      <w:pPr>
        <w:pStyle w:val="167"/>
        <w:widowControl w:val="0"/>
      </w:pPr>
      <w:r>
        <w:rPr>
          <w:rFonts w:ascii="仿宋_GB2312" w:hAnsi="仿宋_GB2312" w:eastAsia="仿宋_GB2312" w:cs="仿宋_GB2312"/>
          <w:b/>
          <w:sz w:val="32"/>
          <w:lang w:val="zh-CN" w:eastAsia="zh-CN"/>
        </w:rPr>
        <w:t>四是美团被曝有偿搜集友商负面信息，外卖平台竞争方式引发行业治理讨论。</w:t>
      </w:r>
      <w:r>
        <w:rPr>
          <w:rFonts w:ascii="仿宋_GB2312" w:hAnsi="仿宋_GB2312" w:eastAsia="仿宋_GB2312" w:cs="仿宋_GB2312"/>
          <w:b w:val="0"/>
          <w:sz w:val="32"/>
          <w:lang w:val="zh-CN" w:eastAsia="zh-CN"/>
        </w:rPr>
        <w:t>6月18日，新浪财经等媒体报道称，美团被指以“调研”为名，向北京线下商户有偿征集竞争对手淘宝闪购的负面案例，商户提供友商业务人员擅自改价等材料后，可获得2000至5000元不等“助力金”。舆论关注主要有三：一是质疑平台将商户卷入舆论攻防，可能加剧外卖行业从价格竞争、服务竞争滑向负面素材竞争；二是关注商户在平台补贴、低价活动和流量分配中的弱势地位，担心其成为平台博弈成本的承担者；三是认为平台经济治理不能只看单个活动合规性，还需关注恶性竞争、虚假宣传和商户权益保护等系统性问题。该事件对海淀平台经济治理具有提示意义，需关注辖区重点平台企业舆情走势和后续监管回应。</w:t>
      </w:r>
    </w:p>
    <w:p w14:paraId="50D7FA14">
      <w:pPr>
        <w:pStyle w:val="166"/>
        <w:widowControl w:val="0"/>
      </w:pPr>
      <w:r>
        <w:rPr>
          <w:rFonts w:ascii="黑体" w:hAnsi="黑体" w:eastAsia="黑体" w:cs="黑体"/>
          <w:b w:val="0"/>
          <w:sz w:val="32"/>
          <w:lang w:val="zh-CN" w:eastAsia="zh-CN"/>
        </w:rPr>
        <w:t>二、本周涉意识形态典型案例分析</w:t>
      </w:r>
    </w:p>
    <w:p w14:paraId="6EE459AB">
      <w:pPr>
        <w:pStyle w:val="167"/>
        <w:widowControl w:val="0"/>
      </w:pPr>
      <w:r>
        <w:rPr>
          <w:rFonts w:ascii="仿宋_GB2312" w:hAnsi="仿宋_GB2312" w:eastAsia="仿宋_GB2312" w:cs="仿宋_GB2312"/>
          <w:b/>
          <w:sz w:val="32"/>
          <w:lang w:val="zh-CN" w:eastAsia="zh-CN"/>
        </w:rPr>
        <w:t>一是婴幼儿纸尿裤甲酰胺疑云引发母婴用品安全与行业标准信任危机。</w:t>
      </w:r>
      <w:r>
        <w:rPr>
          <w:rFonts w:ascii="仿宋_GB2312" w:hAnsi="仿宋_GB2312" w:eastAsia="仿宋_GB2312" w:cs="仿宋_GB2312"/>
          <w:b w:val="0"/>
          <w:sz w:val="32"/>
          <w:lang w:val="zh-CN" w:eastAsia="zh-CN"/>
        </w:rPr>
        <w:t>6月18日，《经济参考报》记者调查称多款主流婴幼儿纸尿裤检出生殖毒性物质甲酰胺，并称部分婴幼儿血样阳性。次日，行业协会和医疗机构发布声明回应；22日，市场监管总局等四部门成立调查组介入。舆论焦点由产品安全延伸至现行标准能否覆盖新兴风险物质：企业以“符合国标”自证，媒体以“检测数据”追问，家长在信息不确定中焦虑上升。该事件提示，在母婴用品、食品药品等高敏感领域，权威调查、标准解释和风险沟通必须同步推进。需关注</w:t>
      </w:r>
      <w:r>
        <w:rPr>
          <w:rFonts w:hint="eastAsia" w:cs="仿宋_GB2312"/>
          <w:b w:val="0"/>
          <w:sz w:val="32"/>
          <w:lang w:val="en-US" w:eastAsia="zh-CN"/>
        </w:rPr>
        <w:t>产品</w:t>
      </w:r>
      <w:r>
        <w:rPr>
          <w:rFonts w:ascii="仿宋_GB2312" w:hAnsi="仿宋_GB2312" w:eastAsia="仿宋_GB2312" w:cs="仿宋_GB2312"/>
          <w:b w:val="0"/>
          <w:sz w:val="32"/>
          <w:lang w:val="zh-CN" w:eastAsia="zh-CN"/>
        </w:rPr>
        <w:t>安全争议在短视频、社群和种草平台上的传播节奏，既防止恐慌被过度放大，也避免企业公关利用算法</w:t>
      </w:r>
      <w:r>
        <w:rPr>
          <w:rFonts w:hint="eastAsia" w:cs="仿宋_GB2312"/>
          <w:b w:val="0"/>
          <w:sz w:val="32"/>
          <w:lang w:val="en-US" w:eastAsia="zh-CN"/>
        </w:rPr>
        <w:t>遮蔽</w:t>
      </w:r>
      <w:r>
        <w:rPr>
          <w:rFonts w:hint="eastAsia" w:ascii="仿宋_GB2312" w:hAnsi="仿宋_GB2312" w:eastAsia="仿宋_GB2312" w:cs="仿宋_GB2312"/>
          <w:b w:val="0"/>
          <w:sz w:val="32"/>
          <w:lang w:val="zh-CN" w:eastAsia="zh-CN"/>
        </w:rPr>
        <w:t>公众对潜在风险的合理关切。</w:t>
      </w:r>
    </w:p>
    <w:p w14:paraId="78DA905A">
      <w:pPr>
        <w:pStyle w:val="167"/>
        <w:widowControl w:val="0"/>
      </w:pPr>
      <w:r>
        <w:rPr>
          <w:rFonts w:ascii="仿宋_GB2312" w:hAnsi="仿宋_GB2312" w:eastAsia="仿宋_GB2312" w:cs="仿宋_GB2312"/>
          <w:b/>
          <w:sz w:val="32"/>
          <w:lang w:val="zh-CN" w:eastAsia="zh-CN"/>
        </w:rPr>
        <w:t>二是王石报案遭规模化网络诽谤，涉企谣言治理和民营企业家权益保护再受关注。</w:t>
      </w:r>
      <w:r>
        <w:rPr>
          <w:rFonts w:ascii="仿宋_GB2312" w:hAnsi="仿宋_GB2312" w:eastAsia="仿宋_GB2312" w:cs="仿宋_GB2312"/>
          <w:b w:val="0"/>
          <w:sz w:val="32"/>
          <w:lang w:val="zh-CN" w:eastAsia="zh-CN"/>
        </w:rPr>
        <w:t>6月22日，万科创始人王石通过代理律师公开披露，其遭遇数百个账号编造“王石被抓”“失联”“涉刑”等不实信息，并在多平台集中传播，相关谣言多次登上热搜。该案暴露出三个层面的问题：其一，涉企谣言呈现账号矩阵分发、AI生成内容和流量变现交织的倾向；其二，民营企业家个人声誉与企业信用、融资预期、员工信心高度绑定，谣言攻击容易外溢为营商环境焦虑；其三，平台在谣言登上热搜后才被动处置，难以及时阻断虚假信息对企业商誉的损害。海淀聚集多家互联网平台、企业服务和内容分发机构，应压实平台主体责任，探索涉企不实信息的快速核查、标签提示、限流处置和申诉救济机制。</w:t>
      </w:r>
    </w:p>
    <w:p w14:paraId="2BDB04DD">
      <w:pPr>
        <w:pStyle w:val="166"/>
        <w:widowControl w:val="0"/>
      </w:pPr>
      <w:r>
        <w:rPr>
          <w:rFonts w:ascii="黑体" w:hAnsi="黑体" w:eastAsia="黑体" w:cs="黑体"/>
          <w:b w:val="0"/>
          <w:sz w:val="32"/>
          <w:lang w:val="zh-CN" w:eastAsia="zh-CN"/>
        </w:rPr>
        <w:t>三、下周风险研判</w:t>
      </w:r>
    </w:p>
    <w:p w14:paraId="1EF12CA6">
      <w:pPr>
        <w:pStyle w:val="167"/>
        <w:widowControl w:val="0"/>
      </w:pPr>
      <w:r>
        <w:rPr>
          <w:rFonts w:ascii="仿宋_GB2312" w:hAnsi="仿宋_GB2312" w:eastAsia="仿宋_GB2312" w:cs="仿宋_GB2312"/>
          <w:b/>
          <w:sz w:val="32"/>
          <w:lang w:val="zh-CN" w:eastAsia="zh-CN"/>
        </w:rPr>
        <w:t>特殊时间节点：七一建党节临近，庆祝活动和网络评论区秩序风险上升。</w:t>
      </w:r>
      <w:r>
        <w:rPr>
          <w:rFonts w:ascii="仿宋_GB2312" w:hAnsi="仿宋_GB2312" w:eastAsia="仿宋_GB2312" w:cs="仿宋_GB2312"/>
          <w:b w:val="0"/>
          <w:sz w:val="32"/>
          <w:lang w:val="zh-CN" w:eastAsia="zh-CN"/>
        </w:rPr>
        <w:t>下周进入七一节点，线下活动现场人流管控、线上直播评论区秩序、短视频二创内容审核是重点环节。需警惕个别账号借历史图片、旧闻片段、公共安全或民生服务个案进行拼接影射，制造历史虚无主义、政治化解读和对立情绪，若平台处置滞后，可能由局部评论扰动扩散为跨平台话题。建议压实重点平台巡查责任，提前梳理关键词和高风险话题，做好直播弹幕、评论区和高校网络社区的前置研判。</w:t>
      </w:r>
    </w:p>
    <w:p w14:paraId="058AD188">
      <w:pPr>
        <w:pStyle w:val="167"/>
        <w:widowControl w:val="0"/>
      </w:pPr>
      <w:r>
        <w:rPr>
          <w:rFonts w:ascii="仿宋_GB2312" w:hAnsi="仿宋_GB2312" w:eastAsia="仿宋_GB2312" w:cs="仿宋_GB2312"/>
          <w:b/>
          <w:sz w:val="32"/>
          <w:lang w:val="zh-CN" w:eastAsia="zh-CN"/>
        </w:rPr>
        <w:t>教育</w:t>
      </w:r>
      <w:bookmarkStart w:id="0" w:name="_GoBack"/>
      <w:bookmarkEnd w:id="0"/>
      <w:r>
        <w:rPr>
          <w:rFonts w:ascii="仿宋_GB2312" w:hAnsi="仿宋_GB2312" w:eastAsia="仿宋_GB2312" w:cs="仿宋_GB2312"/>
          <w:b/>
          <w:sz w:val="32"/>
          <w:lang w:val="zh-CN" w:eastAsia="zh-CN"/>
        </w:rPr>
        <w:t>领域：中考阅卷、高考放榜和小升初二派倒计时叠加，家长焦虑可能集中释放。</w:t>
      </w:r>
      <w:r>
        <w:rPr>
          <w:rFonts w:ascii="仿宋_GB2312" w:hAnsi="仿宋_GB2312" w:eastAsia="仿宋_GB2312" w:cs="仿宋_GB2312"/>
          <w:b w:val="0"/>
          <w:sz w:val="32"/>
          <w:lang w:val="zh-CN" w:eastAsia="zh-CN"/>
        </w:rPr>
        <w:t>北京中考6月25日结束后进入阅卷期，高考查分和志愿填报咨询同步启动，小升初二派志愿填报及后续派位结果公布也进入倒计时。海淀优质教育资源集中，家长对分数线、录取位次、派位结果和学校差异高度敏感，任何阅卷传言、分数线预测、志愿填报“内部渠道”或学区资源对比帖，都可能在家长微信群、业主群、小红书和本地论坛中快速扩散。需关注三类触发点：一是涉考不实信息和培训机构焦虑营销；二是考生心理危机、家庭冲突等极端个案被短视频化传播；三是派位结果公布前后，学区差异和教育公平议题被集中放大。</w:t>
      </w:r>
    </w:p>
    <w:p w14:paraId="205B496B">
      <w:pPr>
        <w:pStyle w:val="167"/>
        <w:widowControl w:val="0"/>
      </w:pPr>
      <w:r>
        <w:rPr>
          <w:rFonts w:ascii="仿宋_GB2312" w:hAnsi="仿宋_GB2312" w:eastAsia="仿宋_GB2312" w:cs="仿宋_GB2312"/>
          <w:b/>
          <w:sz w:val="32"/>
          <w:lang w:val="zh-CN" w:eastAsia="zh-CN"/>
        </w:rPr>
        <w:t>城市运行领域：高温汛期叠加夜间观赛和暑期活动，民生投诉与安全舆情易被放大。</w:t>
      </w:r>
      <w:r>
        <w:rPr>
          <w:rFonts w:ascii="仿宋_GB2312" w:hAnsi="仿宋_GB2312" w:eastAsia="仿宋_GB2312" w:cs="仿宋_GB2312"/>
          <w:b w:val="0"/>
          <w:sz w:val="32"/>
          <w:lang w:val="zh-CN" w:eastAsia="zh-CN"/>
        </w:rPr>
        <w:t>6月下旬北京进入高温、强对流和汛期风险叠加阶段，同时中考结束后学生群体活动增加，世界杯迎来关键赛程带动夜间观赛聚集，五道口、中关村、华熙LIVE等商圈餐饮娱乐客流可能阶段性上升。若出现停电积水、游客滞留、酒后滋事或非法赌球引流个案，舆论可能从单点投诉延伸至城市运行保障、商圈秩序管理和高校学生管理责任。建议提前排查老旧小区供电和低洼点位排水设施，加强重点商圈夜间秩序维护，并关注高校社群、体育论坛和短视频直播间中的非法赌球引流信息。</w:t>
      </w:r>
    </w:p>
    <w:p w14:paraId="5E32A796">
      <w:pPr>
        <w:pStyle w:val="166"/>
        <w:widowControl w:val="0"/>
      </w:pPr>
      <w:r>
        <w:rPr>
          <w:rFonts w:ascii="黑体" w:hAnsi="黑体" w:eastAsia="黑体" w:cs="黑体"/>
          <w:b w:val="0"/>
          <w:sz w:val="32"/>
          <w:lang w:val="zh-CN" w:eastAsia="zh-CN"/>
        </w:rPr>
        <w:t>四、本周思想理论动态</w:t>
      </w:r>
    </w:p>
    <w:p w14:paraId="2D4EB5E5">
      <w:pPr>
        <w:pStyle w:val="167"/>
        <w:widowControl w:val="0"/>
      </w:pPr>
      <w:r>
        <w:rPr>
          <w:rFonts w:ascii="仿宋_GB2312" w:hAnsi="仿宋_GB2312" w:eastAsia="仿宋_GB2312" w:cs="仿宋_GB2312"/>
          <w:b w:val="0"/>
          <w:sz w:val="32"/>
          <w:lang w:val="zh-CN" w:eastAsia="zh-CN"/>
        </w:rPr>
        <w:t>本周，多个领域的热点话题引发广泛关注，涉及文娱跨界争议、游戏产业治理、品牌广告伦理、消费商业逻辑、商标维权边界和</w:t>
      </w:r>
      <w:r>
        <w:rPr>
          <w:rFonts w:hint="eastAsia" w:ascii="仿宋_GB2312" w:hAnsi="仿宋_GB2312" w:eastAsia="仿宋_GB2312" w:cs="仿宋_GB2312"/>
          <w:b w:val="0"/>
          <w:sz w:val="32"/>
          <w:lang w:val="zh-CN" w:eastAsia="zh-CN"/>
        </w:rPr>
        <w:t>精神健康支持</w:t>
      </w:r>
      <w:r>
        <w:rPr>
          <w:rFonts w:ascii="仿宋_GB2312" w:hAnsi="仿宋_GB2312" w:eastAsia="仿宋_GB2312" w:cs="仿宋_GB2312"/>
          <w:b w:val="0"/>
          <w:sz w:val="32"/>
          <w:lang w:val="zh-CN" w:eastAsia="zh-CN"/>
        </w:rPr>
        <w:t>等方面。</w:t>
      </w:r>
    </w:p>
    <w:tbl>
      <w:tblPr>
        <w:tblStyle w:val="32"/>
        <w:tblpPr w:leftFromText="180" w:rightFromText="180" w:vertAnchor="text" w:horzAnchor="page" w:tblpXSpec="center" w:tblpY="344"/>
        <w:tblOverlap w:val="never"/>
        <w:tblW w:w="89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
        <w:gridCol w:w="1592"/>
        <w:gridCol w:w="4534"/>
        <w:gridCol w:w="1189"/>
        <w:gridCol w:w="861"/>
      </w:tblGrid>
      <w:tr w14:paraId="516F1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7B83D7BF">
            <w:pPr>
              <w:pStyle w:val="169"/>
              <w:widowControl w:val="0"/>
              <w:jc w:val="center"/>
            </w:pPr>
            <w:r>
              <w:rPr>
                <w:rFonts w:ascii="微软雅黑" w:hAnsi="微软雅黑" w:eastAsia="微软雅黑" w:cs="微软雅黑"/>
                <w:b/>
                <w:sz w:val="22"/>
                <w:lang w:val="zh-CN" w:eastAsia="zh-CN"/>
              </w:rPr>
              <w:t>序号</w:t>
            </w:r>
          </w:p>
        </w:tc>
        <w:tc>
          <w:tcPr>
            <w:tcW w:w="1592" w:type="dxa"/>
            <w:tcMar>
              <w:top w:w="80" w:type="dxa"/>
              <w:left w:w="100" w:type="dxa"/>
              <w:bottom w:w="80" w:type="dxa"/>
              <w:right w:w="100" w:type="dxa"/>
            </w:tcMar>
            <w:vAlign w:val="center"/>
          </w:tcPr>
          <w:p w14:paraId="0F73E8C5">
            <w:pPr>
              <w:pStyle w:val="169"/>
              <w:widowControl w:val="0"/>
              <w:jc w:val="center"/>
            </w:pPr>
            <w:r>
              <w:rPr>
                <w:rFonts w:ascii="微软雅黑" w:hAnsi="微软雅黑" w:eastAsia="微软雅黑" w:cs="微软雅黑"/>
                <w:b/>
                <w:sz w:val="22"/>
                <w:lang w:val="zh-CN" w:eastAsia="zh-CN"/>
              </w:rPr>
              <w:t>标题</w:t>
            </w:r>
          </w:p>
        </w:tc>
        <w:tc>
          <w:tcPr>
            <w:tcW w:w="4534" w:type="dxa"/>
            <w:tcMar>
              <w:top w:w="80" w:type="dxa"/>
              <w:left w:w="100" w:type="dxa"/>
              <w:bottom w:w="80" w:type="dxa"/>
              <w:right w:w="100" w:type="dxa"/>
            </w:tcMar>
            <w:vAlign w:val="center"/>
          </w:tcPr>
          <w:p w14:paraId="08E6BD30">
            <w:pPr>
              <w:pStyle w:val="169"/>
              <w:widowControl w:val="0"/>
              <w:jc w:val="center"/>
            </w:pPr>
            <w:r>
              <w:rPr>
                <w:rFonts w:ascii="微软雅黑" w:hAnsi="微软雅黑" w:eastAsia="微软雅黑" w:cs="微软雅黑"/>
                <w:b/>
                <w:sz w:val="22"/>
                <w:lang w:val="zh-CN" w:eastAsia="zh-CN"/>
              </w:rPr>
              <w:t>观点</w:t>
            </w:r>
          </w:p>
        </w:tc>
        <w:tc>
          <w:tcPr>
            <w:tcW w:w="1189" w:type="dxa"/>
            <w:tcMar>
              <w:top w:w="80" w:type="dxa"/>
              <w:left w:w="100" w:type="dxa"/>
              <w:bottom w:w="80" w:type="dxa"/>
              <w:right w:w="100" w:type="dxa"/>
            </w:tcMar>
            <w:vAlign w:val="center"/>
          </w:tcPr>
          <w:p w14:paraId="662D4E74">
            <w:pPr>
              <w:pStyle w:val="169"/>
              <w:widowControl w:val="0"/>
              <w:jc w:val="center"/>
            </w:pPr>
            <w:r>
              <w:rPr>
                <w:rFonts w:ascii="微软雅黑" w:hAnsi="微软雅黑" w:eastAsia="微软雅黑" w:cs="微软雅黑"/>
                <w:b/>
                <w:sz w:val="22"/>
                <w:lang w:val="zh-CN" w:eastAsia="zh-CN"/>
              </w:rPr>
              <w:t>来源/作者</w:t>
            </w:r>
          </w:p>
        </w:tc>
        <w:tc>
          <w:tcPr>
            <w:tcW w:w="861" w:type="dxa"/>
            <w:tcMar>
              <w:top w:w="80" w:type="dxa"/>
              <w:left w:w="100" w:type="dxa"/>
              <w:bottom w:w="80" w:type="dxa"/>
              <w:right w:w="100" w:type="dxa"/>
            </w:tcMar>
            <w:vAlign w:val="center"/>
          </w:tcPr>
          <w:p w14:paraId="7D071EF0">
            <w:pPr>
              <w:pStyle w:val="169"/>
              <w:widowControl w:val="0"/>
              <w:jc w:val="center"/>
            </w:pPr>
            <w:r>
              <w:rPr>
                <w:rFonts w:ascii="微软雅黑" w:hAnsi="微软雅黑" w:eastAsia="微软雅黑" w:cs="微软雅黑"/>
                <w:b/>
                <w:sz w:val="22"/>
                <w:lang w:val="zh-CN" w:eastAsia="zh-CN"/>
              </w:rPr>
              <w:t>传播量</w:t>
            </w:r>
          </w:p>
        </w:tc>
      </w:tr>
      <w:tr w14:paraId="7DAB2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7A20C432">
            <w:pPr>
              <w:pStyle w:val="168"/>
              <w:widowControl w:val="0"/>
              <w:jc w:val="center"/>
            </w:pPr>
            <w:r>
              <w:rPr>
                <w:rFonts w:ascii="微软雅黑" w:hAnsi="微软雅黑" w:eastAsia="微软雅黑" w:cs="微软雅黑"/>
                <w:b w:val="0"/>
                <w:sz w:val="20"/>
                <w:lang w:val="zh-CN" w:eastAsia="zh-CN"/>
              </w:rPr>
              <w:t>1</w:t>
            </w:r>
          </w:p>
        </w:tc>
        <w:tc>
          <w:tcPr>
            <w:tcW w:w="1592" w:type="dxa"/>
            <w:tcMar>
              <w:top w:w="80" w:type="dxa"/>
              <w:left w:w="100" w:type="dxa"/>
              <w:bottom w:w="80" w:type="dxa"/>
              <w:right w:w="100" w:type="dxa"/>
            </w:tcMar>
            <w:vAlign w:val="center"/>
          </w:tcPr>
          <w:p w14:paraId="73017E5F">
            <w:pPr>
              <w:pStyle w:val="168"/>
              <w:widowControl w:val="0"/>
              <w:jc w:val="left"/>
            </w:pPr>
            <w:r>
              <w:rPr>
                <w:rFonts w:ascii="微软雅黑" w:hAnsi="微软雅黑" w:eastAsia="微软雅黑" w:cs="微软雅黑"/>
                <w:b w:val="0"/>
                <w:sz w:val="20"/>
                <w:lang w:val="zh-CN" w:eastAsia="zh-CN"/>
              </w:rPr>
              <w:t>“谢娜演唱会”风波是一个提醒</w:t>
            </w:r>
          </w:p>
        </w:tc>
        <w:tc>
          <w:tcPr>
            <w:tcW w:w="4534" w:type="dxa"/>
            <w:tcMar>
              <w:top w:w="80" w:type="dxa"/>
              <w:left w:w="100" w:type="dxa"/>
              <w:bottom w:w="80" w:type="dxa"/>
              <w:right w:w="100" w:type="dxa"/>
            </w:tcMar>
            <w:vAlign w:val="center"/>
          </w:tcPr>
          <w:p w14:paraId="737992E3">
            <w:pPr>
              <w:pStyle w:val="168"/>
              <w:widowControl w:val="0"/>
              <w:jc w:val="left"/>
            </w:pPr>
            <w:r>
              <w:rPr>
                <w:rFonts w:ascii="微软雅黑" w:hAnsi="微软雅黑" w:eastAsia="微软雅黑" w:cs="微软雅黑"/>
                <w:b w:val="0"/>
                <w:sz w:val="20"/>
                <w:lang w:val="zh-CN" w:eastAsia="zh-CN"/>
              </w:rPr>
              <w:t>谢娜以主持人身份开全国巡演引发争议，本质上是流量逻辑取代业务逻辑。演唱会不仅是商品更是文化产品</w:t>
            </w:r>
            <w:r>
              <w:rPr>
                <w:rFonts w:hint="eastAsia" w:cs="微软雅黑"/>
                <w:b w:val="0"/>
                <w:sz w:val="20"/>
                <w:lang w:val="zh-CN" w:eastAsia="zh-CN"/>
              </w:rPr>
              <w:t>，</w:t>
            </w:r>
            <w:r>
              <w:rPr>
                <w:rFonts w:ascii="微软雅黑" w:hAnsi="微软雅黑" w:eastAsia="微软雅黑" w:cs="微软雅黑"/>
                <w:b w:val="0"/>
                <w:sz w:val="20"/>
                <w:lang w:val="zh-CN" w:eastAsia="zh-CN"/>
              </w:rPr>
              <w:t>演艺经济不能沦为短期圈钱工具，审批应兼顾文化标准与艺术尺度，跨界需要真功夫支撑而非以情怀之名消费情怀。</w:t>
            </w:r>
          </w:p>
        </w:tc>
        <w:tc>
          <w:tcPr>
            <w:tcW w:w="1189" w:type="dxa"/>
            <w:tcMar>
              <w:top w:w="80" w:type="dxa"/>
              <w:left w:w="100" w:type="dxa"/>
              <w:bottom w:w="80" w:type="dxa"/>
              <w:right w:w="100" w:type="dxa"/>
            </w:tcMar>
            <w:vAlign w:val="center"/>
          </w:tcPr>
          <w:p w14:paraId="1F308999">
            <w:pPr>
              <w:pStyle w:val="168"/>
              <w:widowControl w:val="0"/>
              <w:jc w:val="left"/>
            </w:pPr>
            <w:r>
              <w:rPr>
                <w:rFonts w:ascii="微软雅黑" w:hAnsi="微软雅黑" w:eastAsia="微软雅黑" w:cs="微软雅黑"/>
                <w:b w:val="0"/>
                <w:sz w:val="20"/>
                <w:lang w:val="zh-CN" w:eastAsia="zh-CN"/>
              </w:rPr>
              <w:t>微信公众号“浙江宣传”</w:t>
            </w:r>
          </w:p>
        </w:tc>
        <w:tc>
          <w:tcPr>
            <w:tcW w:w="861" w:type="dxa"/>
            <w:tcMar>
              <w:top w:w="80" w:type="dxa"/>
              <w:left w:w="100" w:type="dxa"/>
              <w:bottom w:w="80" w:type="dxa"/>
              <w:right w:w="100" w:type="dxa"/>
            </w:tcMar>
            <w:vAlign w:val="center"/>
          </w:tcPr>
          <w:p w14:paraId="0F53D11A">
            <w:pPr>
              <w:pStyle w:val="168"/>
              <w:widowControl w:val="0"/>
              <w:jc w:val="left"/>
            </w:pPr>
            <w:r>
              <w:rPr>
                <w:rFonts w:ascii="微软雅黑" w:hAnsi="微软雅黑" w:eastAsia="微软雅黑" w:cs="微软雅黑"/>
                <w:b w:val="0"/>
                <w:sz w:val="20"/>
                <w:lang w:val="zh-CN" w:eastAsia="zh-CN"/>
              </w:rPr>
              <w:t>10w+</w:t>
            </w:r>
          </w:p>
        </w:tc>
      </w:tr>
      <w:tr w14:paraId="55A56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14DA3D11">
            <w:pPr>
              <w:pStyle w:val="168"/>
              <w:widowControl w:val="0"/>
              <w:jc w:val="center"/>
            </w:pPr>
            <w:r>
              <w:rPr>
                <w:rFonts w:ascii="微软雅黑" w:hAnsi="微软雅黑" w:eastAsia="微软雅黑" w:cs="微软雅黑"/>
                <w:b w:val="0"/>
                <w:sz w:val="20"/>
                <w:lang w:val="zh-CN" w:eastAsia="zh-CN"/>
              </w:rPr>
              <w:t>2</w:t>
            </w:r>
          </w:p>
        </w:tc>
        <w:tc>
          <w:tcPr>
            <w:tcW w:w="1592" w:type="dxa"/>
            <w:tcMar>
              <w:top w:w="80" w:type="dxa"/>
              <w:left w:w="100" w:type="dxa"/>
              <w:bottom w:w="80" w:type="dxa"/>
              <w:right w:w="100" w:type="dxa"/>
            </w:tcMar>
            <w:vAlign w:val="center"/>
          </w:tcPr>
          <w:p w14:paraId="706CD4D2">
            <w:pPr>
              <w:pStyle w:val="168"/>
              <w:widowControl w:val="0"/>
              <w:jc w:val="left"/>
            </w:pPr>
            <w:r>
              <w:rPr>
                <w:rFonts w:ascii="微软雅黑" w:hAnsi="微软雅黑" w:eastAsia="微软雅黑" w:cs="微软雅黑"/>
                <w:b w:val="0"/>
                <w:sz w:val="20"/>
                <w:lang w:val="zh-CN" w:eastAsia="zh-CN"/>
              </w:rPr>
              <w:t>新型“垃圾游戏”拿捏不想动脑的现代人，攒出杀时间的6000万大生意</w:t>
            </w:r>
          </w:p>
        </w:tc>
        <w:tc>
          <w:tcPr>
            <w:tcW w:w="4534" w:type="dxa"/>
            <w:tcMar>
              <w:top w:w="80" w:type="dxa"/>
              <w:left w:w="100" w:type="dxa"/>
              <w:bottom w:w="80" w:type="dxa"/>
              <w:right w:w="100" w:type="dxa"/>
            </w:tcMar>
            <w:vAlign w:val="center"/>
          </w:tcPr>
          <w:p w14:paraId="71A0C57A">
            <w:pPr>
              <w:pStyle w:val="168"/>
              <w:widowControl w:val="0"/>
              <w:jc w:val="left"/>
            </w:pPr>
            <w:r>
              <w:rPr>
                <w:rFonts w:ascii="微软雅黑" w:hAnsi="微软雅黑" w:eastAsia="微软雅黑" w:cs="微软雅黑"/>
                <w:b w:val="0"/>
                <w:sz w:val="20"/>
                <w:lang w:val="zh-CN" w:eastAsia="zh-CN"/>
              </w:rPr>
              <w:t>一些低成本“垃圾游戏”只靠快速送出白金奖杯吸引玩家购买，满足部分玩家刷成就、冲排名的需求。这类游戏批量上架后，不仅污染平台商店，也让奖杯排名失去含金量。游戏平台需要在开放上架和质量审核之间守住基本门槛。</w:t>
            </w:r>
          </w:p>
        </w:tc>
        <w:tc>
          <w:tcPr>
            <w:tcW w:w="1189" w:type="dxa"/>
            <w:tcMar>
              <w:top w:w="80" w:type="dxa"/>
              <w:left w:w="100" w:type="dxa"/>
              <w:bottom w:w="80" w:type="dxa"/>
              <w:right w:w="100" w:type="dxa"/>
            </w:tcMar>
            <w:vAlign w:val="center"/>
          </w:tcPr>
          <w:p w14:paraId="16AFB218">
            <w:pPr>
              <w:pStyle w:val="168"/>
              <w:widowControl w:val="0"/>
              <w:jc w:val="left"/>
            </w:pPr>
            <w:r>
              <w:rPr>
                <w:rFonts w:ascii="微软雅黑" w:hAnsi="微软雅黑" w:eastAsia="微软雅黑" w:cs="微软雅黑"/>
                <w:b w:val="0"/>
                <w:sz w:val="20"/>
                <w:lang w:val="zh-CN" w:eastAsia="zh-CN"/>
              </w:rPr>
              <w:t>微信公众号“Vista看天下”</w:t>
            </w:r>
          </w:p>
        </w:tc>
        <w:tc>
          <w:tcPr>
            <w:tcW w:w="861" w:type="dxa"/>
            <w:tcMar>
              <w:top w:w="80" w:type="dxa"/>
              <w:left w:w="100" w:type="dxa"/>
              <w:bottom w:w="80" w:type="dxa"/>
              <w:right w:w="100" w:type="dxa"/>
            </w:tcMar>
            <w:vAlign w:val="center"/>
          </w:tcPr>
          <w:p w14:paraId="5AC1494F">
            <w:pPr>
              <w:pStyle w:val="168"/>
              <w:widowControl w:val="0"/>
              <w:jc w:val="left"/>
            </w:pPr>
            <w:r>
              <w:rPr>
                <w:rFonts w:ascii="微软雅黑" w:hAnsi="微软雅黑" w:eastAsia="微软雅黑" w:cs="微软雅黑"/>
                <w:b w:val="0"/>
                <w:sz w:val="20"/>
                <w:lang w:val="zh-CN" w:eastAsia="zh-CN"/>
              </w:rPr>
              <w:t>10w+</w:t>
            </w:r>
          </w:p>
        </w:tc>
      </w:tr>
      <w:tr w14:paraId="332C4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30950123">
            <w:pPr>
              <w:pStyle w:val="168"/>
              <w:widowControl w:val="0"/>
              <w:jc w:val="center"/>
            </w:pPr>
            <w:r>
              <w:rPr>
                <w:rFonts w:ascii="微软雅黑" w:hAnsi="微软雅黑" w:eastAsia="微软雅黑" w:cs="微软雅黑"/>
                <w:b w:val="0"/>
                <w:sz w:val="20"/>
                <w:lang w:val="zh-CN" w:eastAsia="zh-CN"/>
              </w:rPr>
              <w:t>3</w:t>
            </w:r>
          </w:p>
        </w:tc>
        <w:tc>
          <w:tcPr>
            <w:tcW w:w="1592" w:type="dxa"/>
            <w:tcMar>
              <w:top w:w="80" w:type="dxa"/>
              <w:left w:w="100" w:type="dxa"/>
              <w:bottom w:w="80" w:type="dxa"/>
              <w:right w:w="100" w:type="dxa"/>
            </w:tcMar>
            <w:vAlign w:val="center"/>
          </w:tcPr>
          <w:p w14:paraId="03DEF5D1">
            <w:pPr>
              <w:pStyle w:val="168"/>
              <w:widowControl w:val="0"/>
              <w:jc w:val="left"/>
            </w:pPr>
            <w:r>
              <w:rPr>
                <w:rFonts w:ascii="微软雅黑" w:hAnsi="微软雅黑" w:eastAsia="微软雅黑" w:cs="微软雅黑"/>
                <w:b w:val="0"/>
                <w:sz w:val="20"/>
                <w:lang w:val="zh-CN" w:eastAsia="zh-CN"/>
              </w:rPr>
              <w:t>滴露的“有毒广告”，不能下架就完了</w:t>
            </w:r>
          </w:p>
        </w:tc>
        <w:tc>
          <w:tcPr>
            <w:tcW w:w="4534" w:type="dxa"/>
            <w:tcMar>
              <w:top w:w="80" w:type="dxa"/>
              <w:left w:w="100" w:type="dxa"/>
              <w:bottom w:w="80" w:type="dxa"/>
              <w:right w:w="100" w:type="dxa"/>
            </w:tcMar>
            <w:vAlign w:val="center"/>
          </w:tcPr>
          <w:p w14:paraId="5960473F">
            <w:pPr>
              <w:pStyle w:val="168"/>
              <w:widowControl w:val="0"/>
              <w:jc w:val="left"/>
            </w:pPr>
            <w:r>
              <w:rPr>
                <w:rFonts w:ascii="微软雅黑" w:hAnsi="微软雅黑" w:eastAsia="微软雅黑" w:cs="微软雅黑"/>
                <w:b w:val="0"/>
                <w:sz w:val="20"/>
                <w:lang w:val="zh-CN" w:eastAsia="zh-CN"/>
              </w:rPr>
              <w:t>滴露广告剧情演绎中出现大量低俗表述、物化贬损女性人格尊严，引发消费者大规模抵制。广告法明确禁止性别歧视和违背公序良俗，市场监管部门应主动出击、发现一起查处一起，以处罚倒逼企业将公序良俗内化为广告营销不可逾越的底线。</w:t>
            </w:r>
          </w:p>
        </w:tc>
        <w:tc>
          <w:tcPr>
            <w:tcW w:w="1189" w:type="dxa"/>
            <w:tcMar>
              <w:top w:w="80" w:type="dxa"/>
              <w:left w:w="100" w:type="dxa"/>
              <w:bottom w:w="80" w:type="dxa"/>
              <w:right w:w="100" w:type="dxa"/>
            </w:tcMar>
            <w:vAlign w:val="center"/>
          </w:tcPr>
          <w:p w14:paraId="28B03C3F">
            <w:pPr>
              <w:pStyle w:val="168"/>
              <w:widowControl w:val="0"/>
              <w:jc w:val="left"/>
            </w:pPr>
            <w:r>
              <w:rPr>
                <w:rFonts w:ascii="微软雅黑" w:hAnsi="微软雅黑" w:eastAsia="微软雅黑" w:cs="微软雅黑"/>
                <w:b w:val="0"/>
                <w:sz w:val="20"/>
                <w:lang w:val="zh-CN" w:eastAsia="zh-CN"/>
              </w:rPr>
              <w:t>微信公众号“澎湃新闻”</w:t>
            </w:r>
          </w:p>
        </w:tc>
        <w:tc>
          <w:tcPr>
            <w:tcW w:w="861" w:type="dxa"/>
            <w:tcMar>
              <w:top w:w="80" w:type="dxa"/>
              <w:left w:w="100" w:type="dxa"/>
              <w:bottom w:w="80" w:type="dxa"/>
              <w:right w:w="100" w:type="dxa"/>
            </w:tcMar>
            <w:vAlign w:val="center"/>
          </w:tcPr>
          <w:p w14:paraId="5F673FAA">
            <w:pPr>
              <w:pStyle w:val="168"/>
              <w:widowControl w:val="0"/>
              <w:jc w:val="left"/>
            </w:pPr>
            <w:r>
              <w:rPr>
                <w:rFonts w:ascii="微软雅黑" w:hAnsi="微软雅黑" w:eastAsia="微软雅黑" w:cs="微软雅黑"/>
                <w:b w:val="0"/>
                <w:sz w:val="20"/>
                <w:lang w:val="zh-CN" w:eastAsia="zh-CN"/>
              </w:rPr>
              <w:t>10w+</w:t>
            </w:r>
          </w:p>
        </w:tc>
      </w:tr>
      <w:tr w14:paraId="298C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32D933CE">
            <w:pPr>
              <w:pStyle w:val="168"/>
              <w:widowControl w:val="0"/>
              <w:jc w:val="center"/>
            </w:pPr>
            <w:r>
              <w:rPr>
                <w:rFonts w:ascii="微软雅黑" w:hAnsi="微软雅黑" w:eastAsia="微软雅黑" w:cs="微软雅黑"/>
                <w:b w:val="0"/>
                <w:sz w:val="20"/>
                <w:lang w:val="zh-CN" w:eastAsia="zh-CN"/>
              </w:rPr>
              <w:t>4</w:t>
            </w:r>
          </w:p>
        </w:tc>
        <w:tc>
          <w:tcPr>
            <w:tcW w:w="1592" w:type="dxa"/>
            <w:tcMar>
              <w:top w:w="80" w:type="dxa"/>
              <w:left w:w="100" w:type="dxa"/>
              <w:bottom w:w="80" w:type="dxa"/>
              <w:right w:w="100" w:type="dxa"/>
            </w:tcMar>
            <w:vAlign w:val="center"/>
          </w:tcPr>
          <w:p w14:paraId="5571086C">
            <w:pPr>
              <w:pStyle w:val="168"/>
              <w:widowControl w:val="0"/>
              <w:jc w:val="left"/>
            </w:pPr>
            <w:r>
              <w:rPr>
                <w:rFonts w:ascii="微软雅黑" w:hAnsi="微软雅黑" w:eastAsia="微软雅黑" w:cs="微软雅黑"/>
                <w:b w:val="0"/>
                <w:sz w:val="20"/>
                <w:lang w:val="zh-CN" w:eastAsia="zh-CN"/>
              </w:rPr>
              <w:t>吃不回本的自助餐？你躲开了“饱腹剂”，没躲开“算计”</w:t>
            </w:r>
          </w:p>
        </w:tc>
        <w:tc>
          <w:tcPr>
            <w:tcW w:w="4534" w:type="dxa"/>
            <w:tcMar>
              <w:top w:w="80" w:type="dxa"/>
              <w:left w:w="100" w:type="dxa"/>
              <w:bottom w:w="80" w:type="dxa"/>
              <w:right w:w="100" w:type="dxa"/>
            </w:tcMar>
            <w:vAlign w:val="center"/>
          </w:tcPr>
          <w:p w14:paraId="478B0842">
            <w:pPr>
              <w:pStyle w:val="168"/>
              <w:widowControl w:val="0"/>
              <w:jc w:val="left"/>
            </w:pPr>
            <w:r>
              <w:rPr>
                <w:rFonts w:ascii="微软雅黑" w:hAnsi="微软雅黑" w:eastAsia="微软雅黑" w:cs="微软雅黑"/>
                <w:b w:val="0"/>
                <w:sz w:val="20"/>
                <w:lang w:val="zh-CN" w:eastAsia="zh-CN"/>
              </w:rPr>
              <w:t>所谓“饱腹剂”并不存在于食品添加剂标准中。自助餐让人快速吃饱靠的是精心商业设计，例如动线布局让低价高饱腹感的炒饭、披萨、炸物先占胃容量，碳酸饮料物理性胀气，贵价菜如三文鱼少量多次慢补。靠“算计”让顾客有“吃亏感”终究走不远，以品质和真诚留住回头客才是生存之道。</w:t>
            </w:r>
          </w:p>
        </w:tc>
        <w:tc>
          <w:tcPr>
            <w:tcW w:w="1189" w:type="dxa"/>
            <w:tcMar>
              <w:top w:w="80" w:type="dxa"/>
              <w:left w:w="100" w:type="dxa"/>
              <w:bottom w:w="80" w:type="dxa"/>
              <w:right w:w="100" w:type="dxa"/>
            </w:tcMar>
            <w:vAlign w:val="center"/>
          </w:tcPr>
          <w:p w14:paraId="2436501B">
            <w:pPr>
              <w:pStyle w:val="168"/>
              <w:widowControl w:val="0"/>
              <w:jc w:val="left"/>
            </w:pPr>
            <w:r>
              <w:rPr>
                <w:rFonts w:ascii="微软雅黑" w:hAnsi="微软雅黑" w:eastAsia="微软雅黑" w:cs="微软雅黑"/>
                <w:b w:val="0"/>
                <w:sz w:val="20"/>
                <w:lang w:val="zh-CN" w:eastAsia="zh-CN"/>
              </w:rPr>
              <w:t>微信公众号“南方周末”</w:t>
            </w:r>
          </w:p>
        </w:tc>
        <w:tc>
          <w:tcPr>
            <w:tcW w:w="861" w:type="dxa"/>
            <w:tcMar>
              <w:top w:w="80" w:type="dxa"/>
              <w:left w:w="100" w:type="dxa"/>
              <w:bottom w:w="80" w:type="dxa"/>
              <w:right w:w="100" w:type="dxa"/>
            </w:tcMar>
            <w:vAlign w:val="center"/>
          </w:tcPr>
          <w:p w14:paraId="2C2CCA7A">
            <w:pPr>
              <w:pStyle w:val="168"/>
              <w:widowControl w:val="0"/>
              <w:jc w:val="left"/>
            </w:pPr>
            <w:r>
              <w:rPr>
                <w:rFonts w:ascii="微软雅黑" w:hAnsi="微软雅黑" w:eastAsia="微软雅黑" w:cs="微软雅黑"/>
                <w:b w:val="0"/>
                <w:sz w:val="20"/>
                <w:lang w:val="zh-CN" w:eastAsia="zh-CN"/>
              </w:rPr>
              <w:t>10w+</w:t>
            </w:r>
          </w:p>
        </w:tc>
      </w:tr>
      <w:tr w14:paraId="5556A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2D8A994D">
            <w:pPr>
              <w:pStyle w:val="168"/>
              <w:widowControl w:val="0"/>
              <w:jc w:val="center"/>
            </w:pPr>
            <w:r>
              <w:rPr>
                <w:rFonts w:ascii="微软雅黑" w:hAnsi="微软雅黑" w:eastAsia="微软雅黑" w:cs="微软雅黑"/>
                <w:b w:val="0"/>
                <w:sz w:val="20"/>
                <w:lang w:val="zh-CN" w:eastAsia="zh-CN"/>
              </w:rPr>
              <w:t>5</w:t>
            </w:r>
          </w:p>
        </w:tc>
        <w:tc>
          <w:tcPr>
            <w:tcW w:w="1592" w:type="dxa"/>
            <w:tcMar>
              <w:top w:w="80" w:type="dxa"/>
              <w:left w:w="100" w:type="dxa"/>
              <w:bottom w:w="80" w:type="dxa"/>
              <w:right w:w="100" w:type="dxa"/>
            </w:tcMar>
            <w:vAlign w:val="center"/>
          </w:tcPr>
          <w:p w14:paraId="7284B41F">
            <w:pPr>
              <w:pStyle w:val="168"/>
              <w:widowControl w:val="0"/>
              <w:jc w:val="left"/>
            </w:pPr>
            <w:r>
              <w:rPr>
                <w:rFonts w:ascii="微软雅黑" w:hAnsi="微软雅黑" w:eastAsia="微软雅黑" w:cs="微软雅黑"/>
                <w:b w:val="0"/>
                <w:sz w:val="20"/>
                <w:lang w:val="zh-CN" w:eastAsia="zh-CN"/>
              </w:rPr>
              <w:t>遇见小面，致命的无情</w:t>
            </w:r>
          </w:p>
        </w:tc>
        <w:tc>
          <w:tcPr>
            <w:tcW w:w="4534" w:type="dxa"/>
            <w:tcMar>
              <w:top w:w="80" w:type="dxa"/>
              <w:left w:w="100" w:type="dxa"/>
              <w:bottom w:w="80" w:type="dxa"/>
              <w:right w:w="100" w:type="dxa"/>
            </w:tcMar>
            <w:vAlign w:val="center"/>
          </w:tcPr>
          <w:p w14:paraId="2C4A01DA">
            <w:pPr>
              <w:pStyle w:val="168"/>
              <w:widowControl w:val="0"/>
              <w:jc w:val="left"/>
            </w:pPr>
            <w:r>
              <w:rPr>
                <w:rFonts w:ascii="微软雅黑" w:hAnsi="微软雅黑" w:eastAsia="微软雅黑" w:cs="微软雅黑"/>
                <w:b w:val="0"/>
                <w:sz w:val="20"/>
                <w:lang w:val="zh-CN" w:eastAsia="zh-CN"/>
              </w:rPr>
              <w:t>遇见小面起诉南阳“渝见小面”夫妻店商标侵权，值得警惕的是外包律所以盈利为目标，维权动机从品牌保护</w:t>
            </w:r>
            <w:r>
              <w:rPr>
                <w:rFonts w:hint="eastAsia" w:cs="微软雅黑"/>
                <w:b w:val="0"/>
                <w:sz w:val="20"/>
                <w:lang w:val="en-US" w:eastAsia="zh-CN"/>
              </w:rPr>
              <w:t>转变</w:t>
            </w:r>
            <w:r>
              <w:rPr>
                <w:rFonts w:ascii="微软雅黑" w:hAnsi="微软雅黑" w:eastAsia="微软雅黑" w:cs="微软雅黑"/>
                <w:b w:val="0"/>
                <w:sz w:val="20"/>
                <w:lang w:val="zh-CN" w:eastAsia="zh-CN"/>
              </w:rPr>
              <w:t>为现金流追逐，精准狙击小微商户心理弱势，在舆论照不到的角落或有更多类似案例。</w:t>
            </w:r>
          </w:p>
        </w:tc>
        <w:tc>
          <w:tcPr>
            <w:tcW w:w="1189" w:type="dxa"/>
            <w:tcMar>
              <w:top w:w="80" w:type="dxa"/>
              <w:left w:w="100" w:type="dxa"/>
              <w:bottom w:w="80" w:type="dxa"/>
              <w:right w:w="100" w:type="dxa"/>
            </w:tcMar>
            <w:vAlign w:val="center"/>
          </w:tcPr>
          <w:p w14:paraId="2B51A405">
            <w:pPr>
              <w:pStyle w:val="168"/>
              <w:widowControl w:val="0"/>
              <w:jc w:val="left"/>
            </w:pPr>
            <w:r>
              <w:rPr>
                <w:rFonts w:ascii="微软雅黑" w:hAnsi="微软雅黑" w:eastAsia="微软雅黑" w:cs="微软雅黑"/>
                <w:b w:val="0"/>
                <w:sz w:val="20"/>
                <w:lang w:val="zh-CN" w:eastAsia="zh-CN"/>
              </w:rPr>
              <w:t>微信公众号“南风窗”</w:t>
            </w:r>
          </w:p>
        </w:tc>
        <w:tc>
          <w:tcPr>
            <w:tcW w:w="861" w:type="dxa"/>
            <w:tcMar>
              <w:top w:w="80" w:type="dxa"/>
              <w:left w:w="100" w:type="dxa"/>
              <w:bottom w:w="80" w:type="dxa"/>
              <w:right w:w="100" w:type="dxa"/>
            </w:tcMar>
            <w:vAlign w:val="center"/>
          </w:tcPr>
          <w:p w14:paraId="0BF6B2DD">
            <w:pPr>
              <w:pStyle w:val="168"/>
              <w:widowControl w:val="0"/>
              <w:jc w:val="left"/>
            </w:pPr>
            <w:r>
              <w:rPr>
                <w:rFonts w:ascii="微软雅黑" w:hAnsi="微软雅黑" w:eastAsia="微软雅黑" w:cs="微软雅黑"/>
                <w:b w:val="0"/>
                <w:sz w:val="20"/>
                <w:lang w:val="zh-CN" w:eastAsia="zh-CN"/>
              </w:rPr>
              <w:t>8w+</w:t>
            </w:r>
          </w:p>
        </w:tc>
      </w:tr>
      <w:tr w14:paraId="1F4A8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jc w:val="center"/>
        </w:trPr>
        <w:tc>
          <w:tcPr>
            <w:tcW w:w="793" w:type="dxa"/>
            <w:tcMar>
              <w:top w:w="80" w:type="dxa"/>
              <w:left w:w="100" w:type="dxa"/>
              <w:bottom w:w="80" w:type="dxa"/>
              <w:right w:w="100" w:type="dxa"/>
            </w:tcMar>
            <w:vAlign w:val="center"/>
          </w:tcPr>
          <w:p w14:paraId="114EEFD3">
            <w:pPr>
              <w:pStyle w:val="168"/>
              <w:widowControl w:val="0"/>
              <w:jc w:val="center"/>
            </w:pPr>
            <w:r>
              <w:rPr>
                <w:rFonts w:ascii="微软雅黑" w:hAnsi="微软雅黑" w:eastAsia="微软雅黑" w:cs="微软雅黑"/>
                <w:b w:val="0"/>
                <w:sz w:val="20"/>
                <w:lang w:val="zh-CN" w:eastAsia="zh-CN"/>
              </w:rPr>
              <w:t>6</w:t>
            </w:r>
          </w:p>
        </w:tc>
        <w:tc>
          <w:tcPr>
            <w:tcW w:w="1592" w:type="dxa"/>
            <w:tcMar>
              <w:top w:w="80" w:type="dxa"/>
              <w:left w:w="100" w:type="dxa"/>
              <w:bottom w:w="80" w:type="dxa"/>
              <w:right w:w="100" w:type="dxa"/>
            </w:tcMar>
            <w:vAlign w:val="center"/>
          </w:tcPr>
          <w:p w14:paraId="7D2420FB">
            <w:pPr>
              <w:pStyle w:val="168"/>
              <w:widowControl w:val="0"/>
              <w:jc w:val="left"/>
            </w:pPr>
            <w:r>
              <w:rPr>
                <w:rFonts w:ascii="微软雅黑" w:hAnsi="微软雅黑" w:eastAsia="微软雅黑" w:cs="微软雅黑"/>
                <w:b w:val="0"/>
                <w:sz w:val="20"/>
                <w:lang w:val="zh-CN" w:eastAsia="zh-CN"/>
              </w:rPr>
              <w:t>“我的妈妈是精神病人”：一个家庭失序的30年</w:t>
            </w:r>
          </w:p>
        </w:tc>
        <w:tc>
          <w:tcPr>
            <w:tcW w:w="4534" w:type="dxa"/>
            <w:tcMar>
              <w:top w:w="80" w:type="dxa"/>
              <w:left w:w="100" w:type="dxa"/>
              <w:bottom w:w="80" w:type="dxa"/>
              <w:right w:w="100" w:type="dxa"/>
            </w:tcMar>
            <w:vAlign w:val="center"/>
          </w:tcPr>
          <w:p w14:paraId="39BC08A8">
            <w:pPr>
              <w:pStyle w:val="168"/>
              <w:widowControl w:val="0"/>
              <w:jc w:val="left"/>
            </w:pPr>
            <w:r>
              <w:rPr>
                <w:rFonts w:ascii="微软雅黑" w:hAnsi="微软雅黑" w:eastAsia="微软雅黑" w:cs="微软雅黑"/>
                <w:b w:val="0"/>
                <w:sz w:val="20"/>
                <w:lang w:val="zh-CN" w:eastAsia="zh-CN"/>
              </w:rPr>
              <w:t>在心理健康日益成为公共议题的当下，文章讲述母亲罹患精神疾病三十年间，一个中国普通家庭在病耻感、照护负担、代际创伤和社会偏见中的挣扎，折射出精神疾病患者家庭长期面临的社区康复资源匮乏、照护者心理支持缺位、社会歧视难以消除等社会制度性问题。</w:t>
            </w:r>
          </w:p>
        </w:tc>
        <w:tc>
          <w:tcPr>
            <w:tcW w:w="1189" w:type="dxa"/>
            <w:tcMar>
              <w:top w:w="80" w:type="dxa"/>
              <w:left w:w="100" w:type="dxa"/>
              <w:bottom w:w="80" w:type="dxa"/>
              <w:right w:w="100" w:type="dxa"/>
            </w:tcMar>
            <w:vAlign w:val="center"/>
          </w:tcPr>
          <w:p w14:paraId="36309B0C">
            <w:pPr>
              <w:pStyle w:val="168"/>
              <w:widowControl w:val="0"/>
              <w:jc w:val="left"/>
            </w:pPr>
            <w:r>
              <w:rPr>
                <w:rFonts w:ascii="微软雅黑" w:hAnsi="微软雅黑" w:eastAsia="微软雅黑" w:cs="微软雅黑"/>
                <w:b w:val="0"/>
                <w:sz w:val="20"/>
                <w:lang w:val="zh-CN" w:eastAsia="zh-CN"/>
              </w:rPr>
              <w:t>微信公众号“三联生活周刊”</w:t>
            </w:r>
          </w:p>
        </w:tc>
        <w:tc>
          <w:tcPr>
            <w:tcW w:w="861" w:type="dxa"/>
            <w:tcMar>
              <w:top w:w="80" w:type="dxa"/>
              <w:left w:w="100" w:type="dxa"/>
              <w:bottom w:w="80" w:type="dxa"/>
              <w:right w:w="100" w:type="dxa"/>
            </w:tcMar>
            <w:vAlign w:val="center"/>
          </w:tcPr>
          <w:p w14:paraId="192CA0A9">
            <w:pPr>
              <w:pStyle w:val="168"/>
              <w:widowControl w:val="0"/>
              <w:jc w:val="left"/>
            </w:pPr>
            <w:r>
              <w:rPr>
                <w:rFonts w:ascii="微软雅黑" w:hAnsi="微软雅黑" w:eastAsia="微软雅黑" w:cs="微软雅黑"/>
                <w:b w:val="0"/>
                <w:sz w:val="20"/>
                <w:lang w:val="zh-CN" w:eastAsia="zh-CN"/>
              </w:rPr>
              <w:t>10w+</w:t>
            </w:r>
          </w:p>
        </w:tc>
      </w:tr>
    </w:tbl>
    <w:p w14:paraId="7A298EE6">
      <w:pPr>
        <w:pStyle w:val="166"/>
        <w:widowControl w:val="0"/>
      </w:pPr>
      <w:r>
        <w:rPr>
          <w:rFonts w:ascii="黑体" w:hAnsi="黑体" w:eastAsia="黑体" w:cs="黑体"/>
          <w:b w:val="0"/>
          <w:sz w:val="32"/>
          <w:lang w:val="zh-CN" w:eastAsia="zh-CN"/>
        </w:rPr>
        <w:t>五、每周荐书</w:t>
      </w:r>
    </w:p>
    <w:p w14:paraId="5198C54F">
      <w:pPr>
        <w:pStyle w:val="167"/>
        <w:widowControl w:val="0"/>
      </w:pPr>
      <w:r>
        <w:rPr>
          <w:rFonts w:ascii="仿宋_GB2312" w:hAnsi="仿宋_GB2312" w:eastAsia="仿宋_GB2312" w:cs="仿宋_GB2312"/>
          <w:b/>
          <w:sz w:val="32"/>
          <w:lang w:val="zh-CN" w:eastAsia="zh-CN"/>
        </w:rPr>
        <w:drawing>
          <wp:anchor distT="0" distB="0" distL="114300" distR="114300" simplePos="0" relativeHeight="251659264" behindDoc="0" locked="0" layoutInCell="1" allowOverlap="1">
            <wp:simplePos x="0" y="0"/>
            <wp:positionH relativeFrom="column">
              <wp:posOffset>34290</wp:posOffset>
            </wp:positionH>
            <wp:positionV relativeFrom="paragraph">
              <wp:posOffset>57785</wp:posOffset>
            </wp:positionV>
            <wp:extent cx="1341755" cy="2054860"/>
            <wp:effectExtent l="0" t="0" r="4445" b="0"/>
            <wp:wrapSquare wrapText="bothSides"/>
            <wp:docPr id="2" name="图片 2" descr="微信图片_20260624111037_4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24111037_4_47"/>
                    <pic:cNvPicPr>
                      <a:picLocks noChangeAspect="1"/>
                    </pic:cNvPicPr>
                  </pic:nvPicPr>
                  <pic:blipFill>
                    <a:blip r:embed="rId8"/>
                    <a:srcRect l="17214" r="17436"/>
                    <a:stretch>
                      <a:fillRect/>
                    </a:stretch>
                  </pic:blipFill>
                  <pic:spPr>
                    <a:xfrm>
                      <a:off x="0" y="0"/>
                      <a:ext cx="1341755" cy="2054860"/>
                    </a:xfrm>
                    <a:prstGeom prst="rect">
                      <a:avLst/>
                    </a:prstGeom>
                  </pic:spPr>
                </pic:pic>
              </a:graphicData>
            </a:graphic>
          </wp:anchor>
        </w:drawing>
      </w:r>
      <w:r>
        <w:rPr>
          <w:rFonts w:ascii="仿宋_GB2312" w:hAnsi="仿宋_GB2312" w:eastAsia="仿宋_GB2312" w:cs="仿宋_GB2312"/>
          <w:b/>
          <w:sz w:val="32"/>
          <w:lang w:val="zh-CN" w:eastAsia="zh-CN"/>
        </w:rPr>
        <w:t>1.《“十五五”战略与选择：构建现代化产业体系》</w:t>
      </w:r>
      <w:r>
        <w:rPr>
          <w:rFonts w:ascii="仿宋_GB2312" w:hAnsi="仿宋_GB2312" w:eastAsia="仿宋_GB2312" w:cs="仿宋_GB2312"/>
          <w:b w:val="0"/>
          <w:sz w:val="32"/>
          <w:lang w:val="zh-CN" w:eastAsia="zh-CN"/>
        </w:rPr>
        <w:t>，由刘元春著，东方出版社于2026年出版。本书围绕“十五五”时期建设现代化产业体系这一核心任务展开，从实体经济根基、新质生产力培育、科技创新与产业创新融合等方面，系统阐释我国现代化产业发展的战略方位、现实挑战与政策选择。书中将现代化产业体系置于中国式现代化和大国竞争格局中加以分析，有助于理解“十五五”时期经济工作的主攻方向，把握以先进制造业、数字经济和科技创新支撑高质量发展的实践路径。</w:t>
      </w:r>
    </w:p>
    <w:p w14:paraId="15A9B283">
      <w:pPr>
        <w:pStyle w:val="167"/>
        <w:widowControl w:val="0"/>
      </w:pPr>
      <w:r>
        <w:rPr>
          <w:rFonts w:ascii="仿宋_GB2312" w:hAnsi="仿宋_GB2312" w:eastAsia="仿宋_GB2312" w:cs="仿宋_GB2312"/>
          <w:b w:val="0"/>
          <w:sz w:val="32"/>
          <w:lang w:val="zh-CN" w:eastAsia="zh-CN"/>
        </w:rPr>
        <w:drawing>
          <wp:anchor distT="0" distB="0" distL="114300" distR="114300" simplePos="0" relativeHeight="251660288" behindDoc="0" locked="0" layoutInCell="1" allowOverlap="1">
            <wp:simplePos x="0" y="0"/>
            <wp:positionH relativeFrom="column">
              <wp:posOffset>3865880</wp:posOffset>
            </wp:positionH>
            <wp:positionV relativeFrom="paragraph">
              <wp:posOffset>102235</wp:posOffset>
            </wp:positionV>
            <wp:extent cx="1369060" cy="1976755"/>
            <wp:effectExtent l="0" t="0" r="2540" b="4445"/>
            <wp:wrapSquare wrapText="bothSides"/>
            <wp:docPr id="3" name="图片 3" descr="微信图片_20260624111035_3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624111035_3_47"/>
                    <pic:cNvPicPr>
                      <a:picLocks noChangeAspect="1"/>
                    </pic:cNvPicPr>
                  </pic:nvPicPr>
                  <pic:blipFill>
                    <a:blip r:embed="rId9"/>
                    <a:stretch>
                      <a:fillRect/>
                    </a:stretch>
                  </pic:blipFill>
                  <pic:spPr>
                    <a:xfrm>
                      <a:off x="0" y="0"/>
                      <a:ext cx="1369060" cy="1976755"/>
                    </a:xfrm>
                    <a:prstGeom prst="rect">
                      <a:avLst/>
                    </a:prstGeom>
                  </pic:spPr>
                </pic:pic>
              </a:graphicData>
            </a:graphic>
          </wp:anchor>
        </w:drawing>
      </w:r>
      <w:r>
        <w:rPr>
          <w:rFonts w:ascii="仿宋_GB2312" w:hAnsi="仿宋_GB2312" w:eastAsia="仿宋_GB2312" w:cs="仿宋_GB2312"/>
          <w:b/>
          <w:sz w:val="32"/>
          <w:lang w:val="zh-CN" w:eastAsia="zh-CN"/>
        </w:rPr>
        <w:t>2.《全球科创中心国际经验与中国式现代化实践》</w:t>
      </w:r>
      <w:r>
        <w:rPr>
          <w:rFonts w:ascii="仿宋_GB2312" w:hAnsi="仿宋_GB2312" w:eastAsia="仿宋_GB2312" w:cs="仿宋_GB2312"/>
          <w:b w:val="0"/>
          <w:sz w:val="32"/>
          <w:lang w:val="zh-CN" w:eastAsia="zh-CN"/>
        </w:rPr>
        <w:t>，由牛志勇等著，上海财经大学出版社于2026年出版。本书聚焦全球科创中心形成机制与中国实践路径，选取硅谷、纽约、波士顿、伦敦等典型案例，分析科技资源集聚、创新生态建设、制度环境优化、产学研协同和金融资本支持等关键因素。书中进一步结合中国式现代化实践，对北京、上海、粤港澳大湾区等科创中心的发展路径进行比较研究。该书有助于理解海淀依托高校院所、创新企业和资本生态建设科技创新高地的现实逻辑，为推动区域创新资源转化为新质生产力提供参考。</w:t>
      </w:r>
    </w:p>
    <w:sectPr>
      <w:footerReference r:id="rId5" w:type="default"/>
      <w:pgSz w:w="11906" w:h="16838"/>
      <w:pgMar w:top="1440" w:right="1803" w:bottom="1440" w:left="1803"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ourier">
    <w:altName w:val="Courier New"/>
    <w:panose1 w:val="02000500000000000000"/>
    <w:charset w:val="00"/>
    <w:family w:val="auto"/>
    <w:pitch w:val="default"/>
    <w:sig w:usb0="00000000" w:usb1="00000000" w:usb2="00000000" w:usb3="00000000" w:csb0="00000001" w:csb1="00000000"/>
  </w:font>
  <w:font w:name="方正大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D1A15">
    <w:pPr>
      <w:pStyle w:val="24"/>
      <w:rPr>
        <w:sz w:val="18"/>
        <w:szCs w:val="18"/>
      </w:rPr>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DC6A0F">
                          <w:pPr>
                            <w:pStyle w:val="24"/>
                            <w:rPr>
                              <w:rFonts w:hint="default" w:ascii="Calibri" w:hAnsi="Calibri" w:cs="Calibri"/>
                              <w:sz w:val="18"/>
                              <w:szCs w:val="18"/>
                            </w:rPr>
                          </w:pPr>
                          <w:r>
                            <w:rPr>
                              <w:rFonts w:hint="default" w:ascii="Calibri" w:hAnsi="Calibri" w:cs="Calibri"/>
                              <w:sz w:val="18"/>
                              <w:szCs w:val="18"/>
                            </w:rPr>
                            <w:fldChar w:fldCharType="begin"/>
                          </w:r>
                          <w:r>
                            <w:rPr>
                              <w:rFonts w:hint="default" w:ascii="Calibri" w:hAnsi="Calibri" w:cs="Calibri"/>
                              <w:sz w:val="18"/>
                              <w:szCs w:val="18"/>
                            </w:rPr>
                            <w:instrText xml:space="preserve"> PAGE  \* MERGEFORMAT </w:instrText>
                          </w:r>
                          <w:r>
                            <w:rPr>
                              <w:rFonts w:hint="default" w:ascii="Calibri" w:hAnsi="Calibri" w:cs="Calibri"/>
                              <w:sz w:val="18"/>
                              <w:szCs w:val="18"/>
                            </w:rPr>
                            <w:fldChar w:fldCharType="separate"/>
                          </w:r>
                          <w:r>
                            <w:rPr>
                              <w:rFonts w:hint="default" w:ascii="Calibri" w:hAnsi="Calibri" w:cs="Calibri"/>
                              <w:sz w:val="18"/>
                              <w:szCs w:val="18"/>
                            </w:rPr>
                            <w:t>1</w:t>
                          </w:r>
                          <w:r>
                            <w:rPr>
                              <w:rFonts w:hint="default" w:ascii="Calibri" w:hAnsi="Calibri" w:cs="Calibri"/>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FDC6A0F">
                    <w:pPr>
                      <w:pStyle w:val="24"/>
                      <w:rPr>
                        <w:rFonts w:hint="default" w:ascii="Calibri" w:hAnsi="Calibri" w:cs="Calibri"/>
                        <w:sz w:val="18"/>
                        <w:szCs w:val="18"/>
                      </w:rPr>
                    </w:pPr>
                    <w:r>
                      <w:rPr>
                        <w:rFonts w:hint="default" w:ascii="Calibri" w:hAnsi="Calibri" w:cs="Calibri"/>
                        <w:sz w:val="18"/>
                        <w:szCs w:val="18"/>
                      </w:rPr>
                      <w:fldChar w:fldCharType="begin"/>
                    </w:r>
                    <w:r>
                      <w:rPr>
                        <w:rFonts w:hint="default" w:ascii="Calibri" w:hAnsi="Calibri" w:cs="Calibri"/>
                        <w:sz w:val="18"/>
                        <w:szCs w:val="18"/>
                      </w:rPr>
                      <w:instrText xml:space="preserve"> PAGE  \* MERGEFORMAT </w:instrText>
                    </w:r>
                    <w:r>
                      <w:rPr>
                        <w:rFonts w:hint="default" w:ascii="Calibri" w:hAnsi="Calibri" w:cs="Calibri"/>
                        <w:sz w:val="18"/>
                        <w:szCs w:val="18"/>
                      </w:rPr>
                      <w:fldChar w:fldCharType="separate"/>
                    </w:r>
                    <w:r>
                      <w:rPr>
                        <w:rFonts w:hint="default" w:ascii="Calibri" w:hAnsi="Calibri" w:cs="Calibri"/>
                        <w:sz w:val="18"/>
                        <w:szCs w:val="18"/>
                      </w:rPr>
                      <w:t>1</w:t>
                    </w:r>
                    <w:r>
                      <w:rPr>
                        <w:rFonts w:hint="default" w:ascii="Calibri" w:hAnsi="Calibri" w:cs="Calibri"/>
                        <w:sz w:val="18"/>
                        <w:szCs w:val="18"/>
                      </w:rPr>
                      <w:fldChar w:fldCharType="end"/>
                    </w:r>
                  </w:p>
                </w:txbxContent>
              </v:textbox>
            </v:shape>
          </w:pict>
        </mc:Fallback>
      </mc:AlternateContent>
    </w:r>
  </w:p>
  <w:p w14:paraId="064DB6BC">
    <w:pPr>
      <w:pStyle w:val="24"/>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E5A2B"/>
    <w:rsid w:val="0A2368BD"/>
    <w:rsid w:val="325D030E"/>
    <w:rsid w:val="45885F8D"/>
    <w:rsid w:val="4B077C5B"/>
    <w:rsid w:val="6388493C"/>
    <w:rsid w:val="6E1402F2"/>
    <w:rsid w:val="7ABB519F"/>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276" w:lineRule="auto"/>
    </w:pPr>
    <w:rPr>
      <w:rFonts w:ascii="仿宋_GB2312" w:hAnsi="仿宋_GB2312" w:eastAsia="仿宋_GB2312" w:cs="仿宋_GB2312"/>
      <w:sz w:val="32"/>
      <w:szCs w:val="22"/>
      <w:lang w:val="en-US" w:eastAsia="en-US" w:bidi="ar-SA"/>
    </w:rPr>
  </w:style>
  <w:style w:type="paragraph" w:styleId="3">
    <w:name w:val="heading 1"/>
    <w:basedOn w:val="1"/>
    <w:next w:val="1"/>
    <w:link w:val="138"/>
    <w:qFormat/>
    <w:uiPriority w:val="9"/>
    <w:pPr>
      <w:keepNext/>
      <w:keepLines/>
      <w:widowControl w:val="0"/>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widowControl w:val="0"/>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widowControl w:val="0"/>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widowControl w:val="0"/>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widowControl w:val="0"/>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widowControl w:val="0"/>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widowControl w:val="0"/>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widowControl w:val="0"/>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widowControl w:val="0"/>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widowControl w:val="0"/>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widowControl w:val="0"/>
      <w:ind w:left="1080" w:hanging="360"/>
      <w:contextualSpacing/>
    </w:pPr>
  </w:style>
  <w:style w:type="paragraph" w:styleId="13">
    <w:name w:val="List Number 2"/>
    <w:basedOn w:val="1"/>
    <w:unhideWhenUsed/>
    <w:qFormat/>
    <w:uiPriority w:val="99"/>
    <w:pPr>
      <w:widowControl w:val="0"/>
      <w:numPr>
        <w:ilvl w:val="0"/>
        <w:numId w:val="1"/>
      </w:numPr>
      <w:contextualSpacing/>
    </w:pPr>
  </w:style>
  <w:style w:type="paragraph" w:styleId="14">
    <w:name w:val="List Number"/>
    <w:basedOn w:val="1"/>
    <w:unhideWhenUsed/>
    <w:qFormat/>
    <w:uiPriority w:val="99"/>
    <w:pPr>
      <w:widowControl w:val="0"/>
      <w:numPr>
        <w:ilvl w:val="0"/>
        <w:numId w:val="2"/>
      </w:numPr>
      <w:contextualSpacing/>
    </w:pPr>
  </w:style>
  <w:style w:type="paragraph" w:styleId="15">
    <w:name w:val="caption"/>
    <w:basedOn w:val="1"/>
    <w:next w:val="1"/>
    <w:semiHidden/>
    <w:unhideWhenUsed/>
    <w:qFormat/>
    <w:uiPriority w:val="35"/>
    <w:pPr>
      <w:widowControl w:val="0"/>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widowControl w:val="0"/>
      <w:numPr>
        <w:ilvl w:val="0"/>
        <w:numId w:val="3"/>
      </w:numPr>
      <w:contextualSpacing/>
    </w:pPr>
  </w:style>
  <w:style w:type="paragraph" w:styleId="17">
    <w:name w:val="Body Text 3"/>
    <w:basedOn w:val="1"/>
    <w:link w:val="146"/>
    <w:unhideWhenUsed/>
    <w:qFormat/>
    <w:uiPriority w:val="99"/>
    <w:pPr>
      <w:widowControl w:val="0"/>
      <w:spacing w:after="120"/>
    </w:pPr>
    <w:rPr>
      <w:sz w:val="16"/>
      <w:szCs w:val="16"/>
    </w:rPr>
  </w:style>
  <w:style w:type="paragraph" w:styleId="18">
    <w:name w:val="List Bullet 3"/>
    <w:basedOn w:val="1"/>
    <w:unhideWhenUsed/>
    <w:qFormat/>
    <w:uiPriority w:val="99"/>
    <w:pPr>
      <w:widowControl w:val="0"/>
      <w:numPr>
        <w:ilvl w:val="0"/>
        <w:numId w:val="4"/>
      </w:numPr>
      <w:contextualSpacing/>
    </w:pPr>
  </w:style>
  <w:style w:type="paragraph" w:styleId="19">
    <w:name w:val="Body Text"/>
    <w:basedOn w:val="1"/>
    <w:link w:val="144"/>
    <w:unhideWhenUsed/>
    <w:qFormat/>
    <w:uiPriority w:val="99"/>
    <w:pPr>
      <w:widowControl w:val="0"/>
      <w:spacing w:after="120"/>
    </w:pPr>
  </w:style>
  <w:style w:type="paragraph" w:styleId="20">
    <w:name w:val="List Number 3"/>
    <w:basedOn w:val="1"/>
    <w:unhideWhenUsed/>
    <w:qFormat/>
    <w:uiPriority w:val="99"/>
    <w:pPr>
      <w:widowControl w:val="0"/>
      <w:numPr>
        <w:ilvl w:val="0"/>
        <w:numId w:val="5"/>
      </w:numPr>
      <w:contextualSpacing/>
    </w:pPr>
  </w:style>
  <w:style w:type="paragraph" w:styleId="21">
    <w:name w:val="List 2"/>
    <w:basedOn w:val="1"/>
    <w:unhideWhenUsed/>
    <w:qFormat/>
    <w:uiPriority w:val="99"/>
    <w:pPr>
      <w:widowControl w:val="0"/>
      <w:ind w:left="720" w:hanging="360"/>
      <w:contextualSpacing/>
    </w:pPr>
  </w:style>
  <w:style w:type="paragraph" w:styleId="22">
    <w:name w:val="List Continue"/>
    <w:basedOn w:val="1"/>
    <w:unhideWhenUsed/>
    <w:qFormat/>
    <w:uiPriority w:val="99"/>
    <w:pPr>
      <w:widowControl w:val="0"/>
      <w:spacing w:after="120"/>
      <w:ind w:left="360"/>
      <w:contextualSpacing/>
    </w:pPr>
  </w:style>
  <w:style w:type="paragraph" w:styleId="23">
    <w:name w:val="List Bullet 2"/>
    <w:basedOn w:val="1"/>
    <w:unhideWhenUsed/>
    <w:qFormat/>
    <w:uiPriority w:val="99"/>
    <w:pPr>
      <w:widowControl w:val="0"/>
      <w:numPr>
        <w:ilvl w:val="0"/>
        <w:numId w:val="6"/>
      </w:numPr>
      <w:contextualSpacing/>
    </w:pPr>
  </w:style>
  <w:style w:type="paragraph" w:styleId="24">
    <w:name w:val="footer"/>
    <w:basedOn w:val="1"/>
    <w:link w:val="136"/>
    <w:unhideWhenUsed/>
    <w:uiPriority w:val="99"/>
    <w:pPr>
      <w:widowControl w:val="0"/>
      <w:tabs>
        <w:tab w:val="center" w:pos="4680"/>
        <w:tab w:val="right" w:pos="9360"/>
      </w:tabs>
      <w:spacing w:after="0" w:line="240" w:lineRule="auto"/>
    </w:pPr>
  </w:style>
  <w:style w:type="paragraph" w:styleId="25">
    <w:name w:val="header"/>
    <w:basedOn w:val="1"/>
    <w:link w:val="135"/>
    <w:unhideWhenUsed/>
    <w:qFormat/>
    <w:uiPriority w:val="99"/>
    <w:pPr>
      <w:widowControl w:val="0"/>
      <w:tabs>
        <w:tab w:val="center" w:pos="4680"/>
        <w:tab w:val="right" w:pos="9360"/>
      </w:tabs>
      <w:spacing w:after="0" w:line="240" w:lineRule="auto"/>
    </w:pPr>
  </w:style>
  <w:style w:type="paragraph" w:styleId="26">
    <w:name w:val="Subtitle"/>
    <w:basedOn w:val="1"/>
    <w:next w:val="1"/>
    <w:link w:val="142"/>
    <w:qFormat/>
    <w:uiPriority w:val="11"/>
    <w:pPr>
      <w:widowControl w:val="0"/>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widowControl w:val="0"/>
      <w:ind w:left="360" w:hanging="360"/>
      <w:contextualSpacing/>
    </w:pPr>
  </w:style>
  <w:style w:type="paragraph" w:styleId="28">
    <w:name w:val="Body Text 2"/>
    <w:basedOn w:val="1"/>
    <w:link w:val="145"/>
    <w:unhideWhenUsed/>
    <w:qFormat/>
    <w:uiPriority w:val="99"/>
    <w:pPr>
      <w:widowControl w:val="0"/>
      <w:spacing w:after="120" w:line="480" w:lineRule="auto"/>
    </w:pPr>
  </w:style>
  <w:style w:type="paragraph" w:styleId="29">
    <w:name w:val="List Continue 2"/>
    <w:basedOn w:val="1"/>
    <w:unhideWhenUsed/>
    <w:qFormat/>
    <w:uiPriority w:val="99"/>
    <w:pPr>
      <w:widowControl w:val="0"/>
      <w:spacing w:after="120"/>
      <w:ind w:left="720"/>
      <w:contextualSpacing/>
    </w:pPr>
  </w:style>
  <w:style w:type="paragraph" w:styleId="30">
    <w:name w:val="List Continue 3"/>
    <w:basedOn w:val="1"/>
    <w:unhideWhenUsed/>
    <w:qFormat/>
    <w:uiPriority w:val="99"/>
    <w:pPr>
      <w:widowControl w:val="0"/>
      <w:spacing w:after="120"/>
      <w:ind w:left="1080"/>
      <w:contextualSpacing/>
    </w:pPr>
  </w:style>
  <w:style w:type="paragraph" w:styleId="31">
    <w:name w:val="Title"/>
    <w:basedOn w:val="1"/>
    <w:next w:val="1"/>
    <w:link w:val="141"/>
    <w:qFormat/>
    <w:uiPriority w:val="10"/>
    <w:pPr>
      <w:widowControl w:val="0"/>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widowControl w:val="0"/>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widowControl w:val="0"/>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pPr>
      <w:widowControl w:val="0"/>
    </w:pPr>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widowControl w:val="0"/>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widowControl w:val="0"/>
      <w:outlineLvl w:val="9"/>
    </w:pPr>
  </w:style>
  <w:style w:type="paragraph" w:customStyle="1" w:styleId="164">
    <w:name w:val="Haidian Report Title"/>
    <w:qFormat/>
    <w:uiPriority w:val="0"/>
    <w:pPr>
      <w:widowControl w:val="0"/>
      <w:spacing w:before="0" w:after="0" w:line="560" w:lineRule="exact"/>
      <w:ind w:left="0" w:right="0" w:firstLine="0"/>
      <w:jc w:val="center"/>
    </w:pPr>
    <w:rPr>
      <w:rFonts w:ascii="方正大标宋简体" w:hAnsi="方正大标宋简体" w:eastAsia="方正大标宋简体" w:cs="方正大标宋简体"/>
      <w:sz w:val="44"/>
      <w:szCs w:val="22"/>
      <w:lang w:val="en-US" w:eastAsia="en-US" w:bidi="ar-SA"/>
    </w:rPr>
  </w:style>
  <w:style w:type="paragraph" w:customStyle="1" w:styleId="165">
    <w:name w:val="Haidian Report Blank"/>
    <w:qFormat/>
    <w:uiPriority w:val="0"/>
    <w:pPr>
      <w:widowControl w:val="0"/>
      <w:spacing w:before="0" w:after="0" w:line="560" w:lineRule="exact"/>
      <w:ind w:firstLine="0"/>
    </w:pPr>
    <w:rPr>
      <w:rFonts w:ascii="仿宋_GB2312" w:hAnsi="仿宋_GB2312" w:eastAsia="仿宋_GB2312" w:cs="仿宋_GB2312"/>
      <w:sz w:val="32"/>
      <w:szCs w:val="22"/>
      <w:lang w:val="en-US" w:eastAsia="en-US" w:bidi="ar-SA"/>
    </w:rPr>
  </w:style>
  <w:style w:type="paragraph" w:customStyle="1" w:styleId="166">
    <w:name w:val="Haidian Report Heading 1"/>
    <w:qFormat/>
    <w:uiPriority w:val="0"/>
    <w:pPr>
      <w:keepNext w:val="0"/>
      <w:keepLines w:val="0"/>
      <w:widowControl w:val="0"/>
      <w:spacing w:before="0" w:after="0" w:line="560" w:lineRule="exact"/>
      <w:ind w:firstLine="640"/>
      <w:jc w:val="left"/>
    </w:pPr>
    <w:rPr>
      <w:rFonts w:ascii="黑体" w:hAnsi="黑体" w:eastAsia="黑体" w:cs="黑体"/>
      <w:sz w:val="32"/>
      <w:szCs w:val="22"/>
      <w:lang w:val="en-US" w:eastAsia="en-US" w:bidi="ar-SA"/>
    </w:rPr>
  </w:style>
  <w:style w:type="paragraph" w:customStyle="1" w:styleId="167">
    <w:name w:val="Haidian Report Body"/>
    <w:uiPriority w:val="0"/>
    <w:pPr>
      <w:keepNext w:val="0"/>
      <w:keepLines w:val="0"/>
      <w:widowControl w:val="0"/>
      <w:spacing w:before="0" w:after="0" w:line="560" w:lineRule="exact"/>
      <w:ind w:firstLine="640"/>
      <w:jc w:val="both"/>
    </w:pPr>
    <w:rPr>
      <w:rFonts w:ascii="仿宋_GB2312" w:hAnsi="仿宋_GB2312" w:eastAsia="仿宋_GB2312" w:cs="仿宋_GB2312"/>
      <w:sz w:val="32"/>
      <w:szCs w:val="22"/>
      <w:lang w:val="en-US" w:eastAsia="en-US" w:bidi="ar-SA"/>
    </w:rPr>
  </w:style>
  <w:style w:type="paragraph" w:customStyle="1" w:styleId="168">
    <w:name w:val="Haidian Report Table Body"/>
    <w:qFormat/>
    <w:uiPriority w:val="0"/>
    <w:pPr>
      <w:widowControl w:val="0"/>
      <w:spacing w:before="0" w:after="0" w:line="320" w:lineRule="exact"/>
      <w:ind w:firstLine="0"/>
      <w:jc w:val="left"/>
    </w:pPr>
    <w:rPr>
      <w:rFonts w:ascii="微软雅黑" w:hAnsi="微软雅黑" w:eastAsia="微软雅黑" w:cs="微软雅黑"/>
      <w:sz w:val="20"/>
      <w:szCs w:val="22"/>
      <w:lang w:val="en-US" w:eastAsia="en-US" w:bidi="ar-SA"/>
    </w:rPr>
  </w:style>
  <w:style w:type="paragraph" w:customStyle="1" w:styleId="169">
    <w:name w:val="Haidian Report Table Header"/>
    <w:qFormat/>
    <w:uiPriority w:val="0"/>
    <w:pPr>
      <w:widowControl w:val="0"/>
      <w:spacing w:before="0" w:after="0" w:line="360" w:lineRule="exact"/>
      <w:ind w:firstLine="0"/>
      <w:jc w:val="center"/>
    </w:pPr>
    <w:rPr>
      <w:rFonts w:ascii="微软雅黑" w:hAnsi="微软雅黑" w:eastAsia="微软雅黑" w:cs="微软雅黑"/>
      <w:b/>
      <w:sz w:val="22"/>
      <w:szCs w:val="22"/>
      <w:lang w:val="en-US" w:eastAsia="en-US" w:bidi="ar-SA"/>
    </w:rPr>
  </w:style>
  <w:style w:type="paragraph" w:customStyle="1" w:styleId="170">
    <w:name w:val="Haidian Report Image"/>
    <w:qFormat/>
    <w:uiPriority w:val="0"/>
    <w:pPr>
      <w:widowControl w:val="0"/>
      <w:spacing w:before="0" w:after="0" w:line="276" w:lineRule="auto"/>
      <w:ind w:firstLine="0"/>
      <w:jc w:val="center"/>
    </w:pPr>
    <w:rPr>
      <w:rFonts w:ascii="仿宋_GB2312" w:hAnsi="仿宋_GB2312" w:eastAsia="仿宋_GB2312" w:cs="仿宋_GB2312"/>
      <w:sz w:val="3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4201</Words>
  <Characters>4273</Characters>
  <Lines>0</Lines>
  <Paragraphs>0</Paragraphs>
  <TotalTime>10</TotalTime>
  <ScaleCrop>false</ScaleCrop>
  <LinksUpToDate>false</LinksUpToDate>
  <CharactersWithSpaces>4274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xjh</cp:lastModifiedBy>
  <dcterms:modified xsi:type="dcterms:W3CDTF">2026-06-24T05:51:11Z</dcterms:modified>
  <dc:subject>海淀意识形态周报</dc:subject>
  <dc:title>意识形态周报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eyJoZGlkIjoiZjJhZTA4MmMwZWExOTRjZTM3OTc3MWM0YTY0ZmJmYWMiLCJ1c2VySWQiOiIxMjcyODY3OTU0In0=</vt:lpwstr>
  </property>
  <property fmtid="{D5CDD505-2E9C-101B-9397-08002B2CF9AE}" pid="3" name="KSOProductBuildVer">
    <vt:lpwstr>2052-12.1.0.25225</vt:lpwstr>
  </property>
  <property fmtid="{D5CDD505-2E9C-101B-9397-08002B2CF9AE}" pid="4" name="ICV">
    <vt:lpwstr>2089EE7711A444BCB08741C924D76C36_12</vt:lpwstr>
  </property>
</Properties>
</file>