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jc w:val="center"/>
      </w:pPr>
      <w:r>
        <w:drawing>
          <wp:inline xmlns:a="http://schemas.openxmlformats.org/drawingml/2006/main" xmlns:pic="http://schemas.openxmlformats.org/drawingml/2006/picture">
            <wp:extent cx="914400" cy="618565"/>
            <wp:docPr id="1" name="Picture 1" descr="Indian Institute of Management Ranchi logo"/>
            <wp:cNvGraphicFramePr>
              <a:graphicFrameLocks noChangeAspect="1"/>
            </wp:cNvGraphicFramePr>
            <a:graphic>
              <a:graphicData uri="http://schemas.openxmlformats.org/drawingml/2006/picture">
                <pic:pic>
                  <pic:nvPicPr>
                    <pic:cNvPr id="0" name="iim_ranchi_logo.png"/>
                    <pic:cNvPicPr/>
                  </pic:nvPicPr>
                  <pic:blipFill>
                    <a:blip r:embed="rId11"/>
                    <a:stretch>
                      <a:fillRect/>
                    </a:stretch>
                  </pic:blipFill>
                  <pic:spPr>
                    <a:xfrm>
                      <a:off x="0" y="0"/>
                      <a:ext cx="914400" cy="618565"/>
                    </a:xfrm>
                    <a:prstGeom prst="rect"/>
                  </pic:spPr>
                </pic:pic>
              </a:graphicData>
            </a:graphic>
          </wp:inline>
        </w:drawing>
      </w:r>
    </w:p>
    <w:p>
      <w:pPr>
        <w:spacing w:after="160"/>
      </w:pPr>
    </w:p>
    <w:p>
      <w:pPr>
        <w:spacing w:after="160"/>
      </w:pPr>
    </w:p>
    <w:p>
      <w:pPr>
        <w:spacing w:after="160"/>
      </w:pPr>
    </w:p>
    <w:p>
      <w:pPr>
        <w:spacing w:after="160"/>
      </w:pPr>
    </w:p>
    <w:p>
      <w:pPr>
        <w:jc w:val="center"/>
      </w:pPr>
      <w:r>
        <w:rPr>
          <w:rFonts w:ascii="Times New Roman" w:hAnsi="Times New Roman" w:eastAsia="Times New Roman"/>
          <w:b/>
          <w:i w:val="0"/>
          <w:color w:val="B9912F"/>
          <w:sz w:val="21"/>
        </w:rPr>
        <w:t>DATA MINING &amp; PREDICTIVE ANALYTICS | PROMPT LOGBOOK</w:t>
      </w:r>
    </w:p>
    <w:p>
      <w:pPr>
        <w:spacing w:before="200" w:after="200"/>
        <w:jc w:val="center"/>
      </w:pPr>
      <w:r>
        <w:rPr>
          <w:rFonts w:ascii="Times New Roman" w:hAnsi="Times New Roman" w:eastAsia="Times New Roman"/>
          <w:b/>
          <w:i w:val="0"/>
          <w:color w:val="6F1D2A"/>
          <w:sz w:val="48"/>
        </w:rPr>
        <w:t>Mandi @ 36: Working with AI</w:t>
      </w:r>
    </w:p>
    <w:p>
      <w:pPr>
        <w:spacing w:after="520"/>
        <w:jc w:val="center"/>
      </w:pPr>
      <w:r>
        <w:rPr>
          <w:rFonts w:ascii="Times New Roman" w:hAnsi="Times New Roman" w:eastAsia="Times New Roman"/>
          <w:b w:val="0"/>
          <w:i/>
          <w:color w:val="1F4D78"/>
          <w:sz w:val="28"/>
        </w:rPr>
        <w:t>Prompt Logbook for Customer Experience Intelligence</w:t>
      </w:r>
    </w:p>
    <w:tbl>
      <w:tblPr>
        <w:tblW w:type="dxa" w:w="9360"/>
        <w:jc w:val="left"/>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vAlign w:val="center"/>
            <w:shd w:fill="F7E9C4"/>
          </w:tcPr>
          <w:p>
            <w:pPr>
              <w:spacing w:after="0"/>
              <w:jc w:val="left"/>
            </w:pPr>
            <w:r>
              <w:rPr>
                <w:rFonts w:ascii="Times New Roman" w:hAnsi="Times New Roman" w:eastAsia="Times New Roman"/>
                <w:b/>
                <w:i w:val="0"/>
                <w:color w:val="6F1D2A"/>
                <w:sz w:val="24"/>
              </w:rPr>
              <w:t>Submitted by</w:t>
            </w:r>
          </w:p>
        </w:tc>
        <w:tc>
          <w:tcPr>
            <w:tcW w:type="dxa" w:w="6480"/>
            <w:tcMar>
              <w:top w:w="90" w:type="dxa"/>
              <w:start w:w="120" w:type="dxa"/>
              <w:bottom w:w="90" w:type="dxa"/>
              <w:end w:w="120" w:type="dxa"/>
            </w:tcMar>
            <w:vAlign w:val="center"/>
          </w:tcPr>
          <w:p>
            <w:pPr>
              <w:spacing w:after="0"/>
              <w:jc w:val="left"/>
            </w:pPr>
            <w:r>
              <w:rPr>
                <w:rFonts w:ascii="Times New Roman" w:hAnsi="Times New Roman" w:eastAsia="Times New Roman"/>
                <w:b w:val="0"/>
                <w:i w:val="0"/>
                <w:sz w:val="24"/>
              </w:rPr>
              <w:t>Malla Venkata Sai Ashish</w:t>
            </w:r>
          </w:p>
        </w:tc>
      </w:tr>
      <w:tr>
        <w:tc>
          <w:tcPr>
            <w:tcW w:type="dxa" w:w="2880"/>
            <w:tcMar>
              <w:top w:w="90" w:type="dxa"/>
              <w:start w:w="120" w:type="dxa"/>
              <w:bottom w:w="90" w:type="dxa"/>
              <w:end w:w="120" w:type="dxa"/>
            </w:tcMar>
            <w:vAlign w:val="center"/>
            <w:shd w:fill="F7E9C4"/>
          </w:tcPr>
          <w:p>
            <w:pPr>
              <w:spacing w:after="0"/>
              <w:jc w:val="left"/>
            </w:pPr>
            <w:r>
              <w:rPr>
                <w:rFonts w:ascii="Times New Roman" w:hAnsi="Times New Roman" w:eastAsia="Times New Roman"/>
                <w:b/>
                <w:i w:val="0"/>
                <w:color w:val="6F1D2A"/>
                <w:sz w:val="24"/>
              </w:rPr>
              <w:t>Roll Number</w:t>
            </w:r>
          </w:p>
        </w:tc>
        <w:tc>
          <w:tcPr>
            <w:tcW w:type="dxa" w:w="6480"/>
            <w:tcMar>
              <w:top w:w="90" w:type="dxa"/>
              <w:start w:w="120" w:type="dxa"/>
              <w:bottom w:w="90" w:type="dxa"/>
              <w:end w:w="120" w:type="dxa"/>
            </w:tcMar>
            <w:vAlign w:val="center"/>
          </w:tcPr>
          <w:p>
            <w:pPr>
              <w:spacing w:after="0"/>
              <w:jc w:val="left"/>
            </w:pPr>
            <w:r>
              <w:rPr>
                <w:rFonts w:ascii="Times New Roman" w:hAnsi="Times New Roman" w:eastAsia="Times New Roman"/>
                <w:b w:val="0"/>
                <w:i w:val="0"/>
                <w:sz w:val="24"/>
              </w:rPr>
              <w:t>B31-25</w:t>
            </w:r>
          </w:p>
        </w:tc>
      </w:tr>
      <w:tr>
        <w:tc>
          <w:tcPr>
            <w:tcW w:type="dxa" w:w="2880"/>
            <w:tcMar>
              <w:top w:w="90" w:type="dxa"/>
              <w:start w:w="120" w:type="dxa"/>
              <w:bottom w:w="90" w:type="dxa"/>
              <w:end w:w="120" w:type="dxa"/>
            </w:tcMar>
            <w:vAlign w:val="center"/>
            <w:shd w:fill="F7E9C4"/>
          </w:tcPr>
          <w:p>
            <w:pPr>
              <w:spacing w:after="0"/>
              <w:jc w:val="left"/>
            </w:pPr>
            <w:r>
              <w:rPr>
                <w:rFonts w:ascii="Times New Roman" w:hAnsi="Times New Roman" w:eastAsia="Times New Roman"/>
                <w:b/>
                <w:i w:val="0"/>
                <w:color w:val="6F1D2A"/>
                <w:sz w:val="24"/>
              </w:rPr>
              <w:t>Project</w:t>
            </w:r>
          </w:p>
        </w:tc>
        <w:tc>
          <w:tcPr>
            <w:tcW w:type="dxa" w:w="6480"/>
            <w:tcMar>
              <w:top w:w="90" w:type="dxa"/>
              <w:start w:w="120" w:type="dxa"/>
              <w:bottom w:w="90" w:type="dxa"/>
              <w:end w:w="120" w:type="dxa"/>
            </w:tcMar>
            <w:vAlign w:val="center"/>
          </w:tcPr>
          <w:p>
            <w:pPr>
              <w:spacing w:after="0"/>
              <w:jc w:val="left"/>
            </w:pPr>
            <w:r>
              <w:rPr>
                <w:rFonts w:ascii="Times New Roman" w:hAnsi="Times New Roman" w:eastAsia="Times New Roman"/>
                <w:b w:val="0"/>
                <w:i w:val="0"/>
                <w:sz w:val="24"/>
              </w:rPr>
              <w:t>Mandi @ 36, Hyderabad</w:t>
            </w:r>
          </w:p>
        </w:tc>
      </w:tr>
    </w:tbl>
    <w:p>
      <w:pPr>
        <w:spacing w:after="160"/>
      </w:pPr>
    </w:p>
    <w:p>
      <w:pPr>
        <w:jc w:val="center"/>
      </w:pPr>
      <w:r>
        <w:rPr>
          <w:rFonts w:ascii="Times New Roman" w:hAnsi="Times New Roman" w:eastAsia="Times New Roman"/>
          <w:b w:val="0"/>
          <w:i/>
          <w:color w:val="666666"/>
          <w:sz w:val="22"/>
        </w:rPr>
        <w:t>Evidence-grounded analytics, controlled AI assistance, and human validation</w:t>
      </w:r>
    </w:p>
    <w:p>
      <w:r>
        <w:br w:type="page"/>
      </w:r>
    </w:p>
    <w:p>
      <w:pPr>
        <w:pStyle w:val="Heading1"/>
        <w:pBdr>
          <w:bottom w:val="single" w:sz="10" w:space="6" w:color="B9912F"/>
        </w:pBdr>
      </w:pPr>
      <w:r>
        <w:t>Purpose and Disclosure</w:t>
      </w:r>
    </w:p>
    <w:p>
      <w:pPr>
        <w:spacing w:before="0" w:after="140"/>
        <w:jc w:val="both"/>
      </w:pPr>
      <w:r>
        <w:rPr>
          <w:rFonts w:ascii="Times New Roman" w:hAnsi="Times New Roman" w:eastAsia="Times New Roman"/>
          <w:b w:val="0"/>
          <w:i w:val="0"/>
          <w:sz w:val="24"/>
        </w:rPr>
        <w:t>This logbook records the prompts used or reconstructed from the actual Mandi @ 36 Data Mining and Predictive Analytics workflow. AI tools supported code scaffolding, method explanations, dashboard communication, quality assurance, and controlled analyst responses. They did not create raw Google Maps reviews, replace deterministic analytics, or manufacture numerical findings.</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7E9C4"/>
          </w:tcPr>
          <w:p>
            <w:pPr>
              <w:spacing w:after="20"/>
              <w:jc w:val="both"/>
            </w:pPr>
            <w:r>
              <w:rPr>
                <w:rFonts w:ascii="Times New Roman" w:hAnsi="Times New Roman" w:eastAsia="Times New Roman"/>
                <w:b/>
                <w:i w:val="0"/>
                <w:color w:val="6F1D2A"/>
                <w:sz w:val="22"/>
              </w:rPr>
              <w:t xml:space="preserve">Evidence rule. </w:t>
            </w:r>
            <w:r>
              <w:rPr>
                <w:rFonts w:ascii="Times New Roman" w:hAnsi="Times New Roman" w:eastAsia="Times New Roman"/>
                <w:b w:val="0"/>
                <w:i w:val="0"/>
                <w:sz w:val="22"/>
              </w:rPr>
              <w:t>Before any AI-assisted narrative or code was adopted, it was checked against the local data schema, pipeline artifacts, dashboard outputs, and project code. Raw Apify exports remain separate and read-only.</w:t>
            </w:r>
          </w:p>
        </w:tc>
      </w:tr>
    </w:tbl>
    <w:p>
      <w:pPr>
        <w:spacing w:after="20"/>
      </w:pPr>
    </w:p>
    <w:p>
      <w:pPr>
        <w:pStyle w:val="Heading1"/>
        <w:pBdr>
          <w:bottom w:val="single" w:sz="10" w:space="6" w:color="B9912F"/>
        </w:pBdr>
      </w:pPr>
      <w:r>
        <w:t>Prompt Records</w:t>
      </w:r>
    </w:p>
    <w:p>
      <w:pPr>
        <w:spacing w:before="0" w:after="140"/>
        <w:jc w:val="both"/>
      </w:pPr>
      <w:r>
        <w:rPr>
          <w:rFonts w:ascii="Times New Roman" w:hAnsi="Times New Roman" w:eastAsia="Times New Roman"/>
          <w:b w:val="0"/>
          <w:i w:val="0"/>
          <w:sz w:val="24"/>
        </w:rPr>
        <w:t>The record combines the prompt, the intended tool, a concise output summary, and the validation or project use. Prompts are written so a reviewer can reproduce the reasoning path without exposing unnecessary customer-review data to a language model.</w:t>
      </w:r>
    </w:p>
    <w:tbl>
      <w:tblPr>
        <w:tblStyle w:val="TableGrid"/>
        <w:tblW w:type="dxa" w:w="9360"/>
        <w:jc w:val="left"/>
        <w:tblLayout w:type="fixed"/>
        <w:tblLook w:firstColumn="1" w:firstRow="1" w:lastColumn="0" w:lastRow="0" w:noHBand="0" w:noVBand="1" w:val="04A0"/>
        <w:tblInd w:w="120" w:type="dxa"/>
      </w:tblPr>
      <w:tblGrid>
        <w:gridCol w:w="518"/>
        <w:gridCol w:w="1325"/>
        <w:gridCol w:w="4536"/>
        <w:gridCol w:w="2981"/>
      </w:tblGrid>
      <w:tr>
        <w:trPr>
          <w:tblHeader w:val="true"/>
        </w:trPr>
        <w:tc>
          <w:tcPr>
            <w:tcW w:type="dxa" w:w="518"/>
            <w:tcMar>
              <w:top w:w="90" w:type="dxa"/>
              <w:start w:w="120" w:type="dxa"/>
              <w:bottom w:w="90" w:type="dxa"/>
              <w:end w:w="120" w:type="dxa"/>
            </w:tcMar>
            <w:vAlign w:val="center"/>
            <w:shd w:fill="6F1D2A"/>
          </w:tcPr>
          <w:p>
            <w:pPr>
              <w:spacing w:after="0"/>
              <w:jc w:val="center"/>
            </w:pPr>
            <w:r>
              <w:rPr>
                <w:rFonts w:ascii="Times New Roman" w:hAnsi="Times New Roman" w:eastAsia="Times New Roman"/>
                <w:b/>
                <w:i w:val="0"/>
                <w:color w:val="FFFFFF"/>
                <w:sz w:val="18"/>
              </w:rPr>
              <w:t>No.</w:t>
            </w:r>
          </w:p>
        </w:tc>
        <w:tc>
          <w:tcPr>
            <w:tcW w:type="dxa" w:w="1325"/>
            <w:tcMar>
              <w:top w:w="90" w:type="dxa"/>
              <w:start w:w="120" w:type="dxa"/>
              <w:bottom w:w="90" w:type="dxa"/>
              <w:end w:w="120" w:type="dxa"/>
            </w:tcMar>
            <w:vAlign w:val="center"/>
            <w:shd w:fill="6F1D2A"/>
          </w:tcPr>
          <w:p>
            <w:pPr>
              <w:spacing w:after="0"/>
              <w:jc w:val="center"/>
            </w:pPr>
            <w:r>
              <w:rPr>
                <w:rFonts w:ascii="Times New Roman" w:hAnsi="Times New Roman" w:eastAsia="Times New Roman"/>
                <w:b/>
                <w:i w:val="0"/>
                <w:color w:val="FFFFFF"/>
                <w:sz w:val="18"/>
              </w:rPr>
              <w:t>Tool and task</w:t>
            </w:r>
          </w:p>
        </w:tc>
        <w:tc>
          <w:tcPr>
            <w:tcW w:type="dxa" w:w="4536"/>
            <w:tcMar>
              <w:top w:w="90" w:type="dxa"/>
              <w:start w:w="120" w:type="dxa"/>
              <w:bottom w:w="90" w:type="dxa"/>
              <w:end w:w="120" w:type="dxa"/>
            </w:tcMar>
            <w:vAlign w:val="center"/>
            <w:shd w:fill="6F1D2A"/>
          </w:tcPr>
          <w:p>
            <w:pPr>
              <w:spacing w:after="0"/>
              <w:jc w:val="center"/>
            </w:pPr>
            <w:r>
              <w:rPr>
                <w:rFonts w:ascii="Times New Roman" w:hAnsi="Times New Roman" w:eastAsia="Times New Roman"/>
                <w:b/>
                <w:i w:val="0"/>
                <w:color w:val="FFFFFF"/>
                <w:sz w:val="18"/>
              </w:rPr>
              <w:t>Prompt text</w:t>
            </w:r>
          </w:p>
        </w:tc>
        <w:tc>
          <w:tcPr>
            <w:tcW w:type="dxa" w:w="2981"/>
            <w:tcMar>
              <w:top w:w="90" w:type="dxa"/>
              <w:start w:w="120" w:type="dxa"/>
              <w:bottom w:w="90" w:type="dxa"/>
              <w:end w:w="120" w:type="dxa"/>
            </w:tcMar>
            <w:vAlign w:val="center"/>
            <w:shd w:fill="6F1D2A"/>
          </w:tcPr>
          <w:p>
            <w:pPr>
              <w:spacing w:after="0"/>
              <w:jc w:val="center"/>
            </w:pPr>
            <w:r>
              <w:rPr>
                <w:rFonts w:ascii="Times New Roman" w:hAnsi="Times New Roman" w:eastAsia="Times New Roman"/>
                <w:b/>
                <w:i w:val="0"/>
                <w:color w:val="FFFFFF"/>
                <w:sz w:val="18"/>
              </w:rPr>
              <w:t>Output, project use, and reflection</w:t>
            </w:r>
          </w:p>
        </w:tc>
      </w:tr>
      <w:tr>
        <w:trPr>
          <w:cantSplit/>
        </w:trPr>
        <w:tc>
          <w:tcPr>
            <w:tcW w:type="dxa" w:w="518"/>
          </w:tcPr>
          <w:p>
            <w:pPr>
              <w:spacing w:after="0"/>
              <w:jc w:val="center"/>
            </w:pPr>
            <w:r>
              <w:rPr>
                <w:rFonts w:ascii="Times New Roman" w:hAnsi="Times New Roman" w:eastAsia="Times New Roman"/>
                <w:b w:val="0"/>
                <w:i w:val="0"/>
                <w:sz w:val="18"/>
              </w:rPr>
              <w:t>1</w:t>
            </w:r>
          </w:p>
        </w:tc>
        <w:tc>
          <w:tcPr>
            <w:tcW w:type="dxa" w:w="1325"/>
          </w:tcPr>
          <w:p>
            <w:pPr>
              <w:spacing w:after="0"/>
              <w:jc w:val="left"/>
            </w:pPr>
            <w:r>
              <w:rPr>
                <w:rFonts w:ascii="Times New Roman" w:hAnsi="Times New Roman" w:eastAsia="Times New Roman"/>
                <w:b w:val="0"/>
                <w:i w:val="0"/>
                <w:sz w:val="18"/>
              </w:rPr>
              <w:t>Codex</w:t>
              <w:br/>
              <w:t>Schema inspection</w:t>
            </w:r>
          </w:p>
        </w:tc>
        <w:tc>
          <w:tcPr>
            <w:tcW w:type="dxa" w:w="4536"/>
          </w:tcPr>
          <w:p>
            <w:pPr>
              <w:spacing w:after="0"/>
              <w:jc w:val="left"/>
            </w:pPr>
            <w:r>
              <w:rPr>
                <w:rFonts w:ascii="Times New Roman" w:hAnsi="Times New Roman" w:eastAsia="Times New Roman"/>
                <w:b w:val="0"/>
                <w:i w:val="0"/>
                <w:sz w:val="18"/>
              </w:rPr>
              <w:t>I have Apify Google Maps scraper JSON exports for three Mandi @ 36 branches. Inspect the actual schema without modifying any raw file. Identify the review-list field and map branch, review text, rating, date, reviewer, and source URL. Report missing or ambiguous fields before proposing code.</w:t>
            </w:r>
          </w:p>
        </w:tc>
        <w:tc>
          <w:tcPr>
            <w:tcW w:type="dxa" w:w="2981"/>
          </w:tcPr>
          <w:p>
            <w:pPr>
              <w:spacing w:after="0"/>
              <w:jc w:val="left"/>
            </w:pPr>
            <w:r>
              <w:rPr>
                <w:rFonts w:ascii="Times New Roman" w:hAnsi="Times New Roman" w:eastAsia="Times New Roman"/>
                <w:b w:val="0"/>
                <w:i w:val="0"/>
                <w:sz w:val="18"/>
              </w:rPr>
              <w:t>Output: field-mapping checklist and validation plan. Use: confirmed the data contract before coding. Reflection: schema inspection prevented assumptions about nested records and preserved raw files.</w:t>
            </w:r>
          </w:p>
        </w:tc>
      </w:tr>
      <w:tr>
        <w:trPr>
          <w:cantSplit/>
        </w:trPr>
        <w:tc>
          <w:tcPr>
            <w:tcW w:type="dxa" w:w="518"/>
            <w:shd w:fill="F1F3F5"/>
          </w:tcPr>
          <w:p>
            <w:pPr>
              <w:spacing w:after="0"/>
              <w:jc w:val="center"/>
            </w:pPr>
            <w:r>
              <w:rPr>
                <w:rFonts w:ascii="Times New Roman" w:hAnsi="Times New Roman" w:eastAsia="Times New Roman"/>
                <w:b w:val="0"/>
                <w:i w:val="0"/>
                <w:sz w:val="18"/>
              </w:rPr>
              <w:t>2</w:t>
            </w:r>
          </w:p>
        </w:tc>
        <w:tc>
          <w:tcPr>
            <w:tcW w:type="dxa" w:w="1325"/>
            <w:shd w:fill="F1F3F5"/>
          </w:tcPr>
          <w:p>
            <w:pPr>
              <w:spacing w:after="0"/>
              <w:jc w:val="left"/>
            </w:pPr>
            <w:r>
              <w:rPr>
                <w:rFonts w:ascii="Times New Roman" w:hAnsi="Times New Roman" w:eastAsia="Times New Roman"/>
                <w:b w:val="0"/>
                <w:i w:val="0"/>
                <w:sz w:val="18"/>
              </w:rPr>
              <w:t>GitHub Copilot</w:t>
              <w:br/>
              <w:t>JSON preparation</w:t>
            </w:r>
          </w:p>
        </w:tc>
        <w:tc>
          <w:tcPr>
            <w:tcW w:type="dxa" w:w="4536"/>
            <w:shd w:fill="F1F3F5"/>
          </w:tcPr>
          <w:p>
            <w:pPr>
              <w:spacing w:after="0"/>
              <w:jc w:val="left"/>
            </w:pPr>
            <w:r>
              <w:rPr>
                <w:rFonts w:ascii="Times New Roman" w:hAnsi="Times New Roman" w:eastAsia="Times New Roman"/>
                <w:b w:val="0"/>
                <w:i w:val="0"/>
                <w:sz w:val="18"/>
              </w:rPr>
              <w:t>Convert the inspected Google Maps scraper JSON into a usable analytical table in Python. Use a defensive loader for nested review arrays; retain branch and source URL; normalize rating and date; preserve raw text; and write a separate cleaned output. Do not invent missing values.</w:t>
            </w:r>
          </w:p>
        </w:tc>
        <w:tc>
          <w:tcPr>
            <w:tcW w:type="dxa" w:w="2981"/>
            <w:shd w:fill="F1F3F5"/>
          </w:tcPr>
          <w:p>
            <w:pPr>
              <w:spacing w:after="0"/>
              <w:jc w:val="left"/>
            </w:pPr>
            <w:r>
              <w:rPr>
                <w:rFonts w:ascii="Times New Roman" w:hAnsi="Times New Roman" w:eastAsia="Times New Roman"/>
                <w:b w:val="0"/>
                <w:i w:val="0"/>
                <w:sz w:val="18"/>
              </w:rPr>
              <w:t>Output: loader scaffold and normalization logic. Use: adapted after checking the actual exports. Reflection: the cleaned dataset was written separately, so the transformation remained reproducible and reversible.</w:t>
            </w:r>
          </w:p>
        </w:tc>
      </w:tr>
      <w:tr>
        <w:trPr>
          <w:cantSplit/>
        </w:trPr>
        <w:tc>
          <w:tcPr>
            <w:tcW w:type="dxa" w:w="518"/>
          </w:tcPr>
          <w:p>
            <w:pPr>
              <w:spacing w:after="0"/>
              <w:jc w:val="center"/>
            </w:pPr>
            <w:r>
              <w:rPr>
                <w:rFonts w:ascii="Times New Roman" w:hAnsi="Times New Roman" w:eastAsia="Times New Roman"/>
                <w:b w:val="0"/>
                <w:i w:val="0"/>
                <w:sz w:val="18"/>
              </w:rPr>
              <w:t>3</w:t>
            </w:r>
          </w:p>
        </w:tc>
        <w:tc>
          <w:tcPr>
            <w:tcW w:type="dxa" w:w="1325"/>
          </w:tcPr>
          <w:p>
            <w:pPr>
              <w:spacing w:after="0"/>
              <w:jc w:val="left"/>
            </w:pPr>
            <w:r>
              <w:rPr>
                <w:rFonts w:ascii="Times New Roman" w:hAnsi="Times New Roman" w:eastAsia="Times New Roman"/>
                <w:b w:val="0"/>
                <w:i w:val="0"/>
                <w:sz w:val="18"/>
              </w:rPr>
              <w:t>Claude</w:t>
              <w:br/>
              <w:t>Text preparation</w:t>
            </w:r>
          </w:p>
        </w:tc>
        <w:tc>
          <w:tcPr>
            <w:tcW w:type="dxa" w:w="4536"/>
          </w:tcPr>
          <w:p>
            <w:pPr>
              <w:spacing w:after="0"/>
              <w:jc w:val="left"/>
            </w:pPr>
            <w:r>
              <w:rPr>
                <w:rFonts w:ascii="Times New Roman" w:hAnsi="Times New Roman" w:eastAsia="Times New Roman"/>
                <w:b w:val="0"/>
                <w:i w:val="0"/>
                <w:sz w:val="18"/>
              </w:rPr>
              <w:t>Suggest a privacy-minimizing cleaning sequence for public restaurant reviews. Preserve the original review text, create a clean analysis field, and list limits for emojis, mixed languages, sarcasm, empty text, and informal spelling.</w:t>
            </w:r>
          </w:p>
        </w:tc>
        <w:tc>
          <w:tcPr>
            <w:tcW w:type="dxa" w:w="2981"/>
          </w:tcPr>
          <w:p>
            <w:pPr>
              <w:spacing w:after="0"/>
              <w:jc w:val="left"/>
            </w:pPr>
            <w:r>
              <w:rPr>
                <w:rFonts w:ascii="Times New Roman" w:hAnsi="Times New Roman" w:eastAsia="Times New Roman"/>
                <w:b w:val="0"/>
                <w:i w:val="0"/>
                <w:sz w:val="18"/>
              </w:rPr>
              <w:t>Output: text-cleaning steps and limitations. Use: informed the preparation section and the rule to treat textual outputs as review cues, not definitive customer truth.</w:t>
            </w:r>
          </w:p>
        </w:tc>
      </w:tr>
      <w:tr>
        <w:trPr>
          <w:cantSplit/>
        </w:trPr>
        <w:tc>
          <w:tcPr>
            <w:tcW w:type="dxa" w:w="518"/>
            <w:shd w:fill="F1F3F5"/>
          </w:tcPr>
          <w:p>
            <w:pPr>
              <w:spacing w:after="0"/>
              <w:jc w:val="center"/>
            </w:pPr>
            <w:r>
              <w:rPr>
                <w:rFonts w:ascii="Times New Roman" w:hAnsi="Times New Roman" w:eastAsia="Times New Roman"/>
                <w:b w:val="0"/>
                <w:i w:val="0"/>
                <w:sz w:val="18"/>
              </w:rPr>
              <w:t>4</w:t>
            </w:r>
          </w:p>
        </w:tc>
        <w:tc>
          <w:tcPr>
            <w:tcW w:type="dxa" w:w="1325"/>
            <w:shd w:fill="F1F3F5"/>
          </w:tcPr>
          <w:p>
            <w:pPr>
              <w:spacing w:after="0"/>
              <w:jc w:val="left"/>
            </w:pPr>
            <w:r>
              <w:rPr>
                <w:rFonts w:ascii="Times New Roman" w:hAnsi="Times New Roman" w:eastAsia="Times New Roman"/>
                <w:b w:val="0"/>
                <w:i w:val="0"/>
                <w:sz w:val="18"/>
              </w:rPr>
              <w:t>Codex</w:t>
              <w:br/>
              <w:t>Sentiment baseline</w:t>
            </w:r>
          </w:p>
        </w:tc>
        <w:tc>
          <w:tcPr>
            <w:tcW w:type="dxa" w:w="4536"/>
            <w:shd w:fill="F1F3F5"/>
          </w:tcPr>
          <w:p>
            <w:pPr>
              <w:spacing w:after="0"/>
              <w:jc w:val="left"/>
            </w:pPr>
            <w:r>
              <w:rPr>
                <w:rFonts w:ascii="Times New Roman" w:hAnsi="Times New Roman" w:eastAsia="Times New Roman"/>
                <w:b w:val="0"/>
                <w:i w:val="0"/>
                <w:sz w:val="18"/>
              </w:rPr>
              <w:t>Create a transparent sentiment baseline for restaurant review text using interpretable positive and negative lexicons. Return a label and score, keep it deterministic and separate from LLM calls, and state why it must not be presented as CSAT or NPS.</w:t>
            </w:r>
          </w:p>
        </w:tc>
        <w:tc>
          <w:tcPr>
            <w:tcW w:type="dxa" w:w="2981"/>
            <w:shd w:fill="F1F3F5"/>
          </w:tcPr>
          <w:p>
            <w:pPr>
              <w:spacing w:after="0"/>
              <w:jc w:val="left"/>
            </w:pPr>
            <w:r>
              <w:rPr>
                <w:rFonts w:ascii="Times New Roman" w:hAnsi="Times New Roman" w:eastAsia="Times New Roman"/>
                <w:b w:val="0"/>
                <w:i w:val="0"/>
                <w:sz w:val="18"/>
              </w:rPr>
              <w:t>Output: deterministic baseline design. Use: supported derived sentiment labels and dashboard wording. Reflection: the baseline is useful for triage but remains unvalidated and requires review of original comments.</w:t>
            </w:r>
          </w:p>
        </w:tc>
      </w:tr>
      <w:tr>
        <w:trPr>
          <w:cantSplit/>
        </w:trPr>
        <w:tc>
          <w:tcPr>
            <w:tcW w:type="dxa" w:w="518"/>
          </w:tcPr>
          <w:p>
            <w:pPr>
              <w:spacing w:after="0"/>
              <w:jc w:val="center"/>
            </w:pPr>
            <w:r>
              <w:rPr>
                <w:rFonts w:ascii="Times New Roman" w:hAnsi="Times New Roman" w:eastAsia="Times New Roman"/>
                <w:b w:val="0"/>
                <w:i w:val="0"/>
                <w:sz w:val="18"/>
              </w:rPr>
              <w:t>5</w:t>
            </w:r>
          </w:p>
        </w:tc>
        <w:tc>
          <w:tcPr>
            <w:tcW w:type="dxa" w:w="1325"/>
          </w:tcPr>
          <w:p>
            <w:pPr>
              <w:spacing w:after="0"/>
              <w:jc w:val="left"/>
            </w:pPr>
            <w:r>
              <w:rPr>
                <w:rFonts w:ascii="Times New Roman" w:hAnsi="Times New Roman" w:eastAsia="Times New Roman"/>
                <w:b w:val="0"/>
                <w:i w:val="0"/>
                <w:sz w:val="18"/>
              </w:rPr>
              <w:t>ChatGPT</w:t>
              <w:br/>
              <w:t>Topics and aspects</w:t>
            </w:r>
          </w:p>
        </w:tc>
        <w:tc>
          <w:tcPr>
            <w:tcW w:type="dxa" w:w="4536"/>
          </w:tcPr>
          <w:p>
            <w:pPr>
              <w:spacing w:after="0"/>
              <w:jc w:val="left"/>
            </w:pPr>
            <w:r>
              <w:rPr>
                <w:rFonts w:ascii="Times New Roman" w:hAnsi="Times New Roman" w:eastAsia="Times New Roman"/>
                <w:b w:val="0"/>
                <w:i w:val="0"/>
                <w:sz w:val="18"/>
              </w:rPr>
              <w:t>Explain, in plain language, how keyword aspects plus TF-IDF and NMF topic modeling can identify recurring restaurant experience areas such as food, service, ambience, waiting time, and value. Include limitations and manager-validation steps.</w:t>
            </w:r>
          </w:p>
        </w:tc>
        <w:tc>
          <w:tcPr>
            <w:tcW w:type="dxa" w:w="2981"/>
          </w:tcPr>
          <w:p>
            <w:pPr>
              <w:spacing w:after="0"/>
              <w:jc w:val="left"/>
            </w:pPr>
            <w:r>
              <w:rPr>
                <w:rFonts w:ascii="Times New Roman" w:hAnsi="Times New Roman" w:eastAsia="Times New Roman"/>
                <w:b w:val="0"/>
                <w:i w:val="0"/>
                <w:sz w:val="18"/>
              </w:rPr>
              <w:t>Output: readable methodology explanation. Use: supported report and dashboard explanations. Reflection: a topic or aspect frequency directs investigation; it does not prove a root cause.</w:t>
            </w:r>
          </w:p>
        </w:tc>
      </w:tr>
      <w:tr>
        <w:trPr>
          <w:cantSplit/>
        </w:trPr>
        <w:tc>
          <w:tcPr>
            <w:tcW w:type="dxa" w:w="518"/>
            <w:shd w:fill="F1F3F5"/>
          </w:tcPr>
          <w:p>
            <w:pPr>
              <w:spacing w:after="0"/>
              <w:jc w:val="center"/>
            </w:pPr>
            <w:r>
              <w:rPr>
                <w:rFonts w:ascii="Times New Roman" w:hAnsi="Times New Roman" w:eastAsia="Times New Roman"/>
                <w:b w:val="0"/>
                <w:i w:val="0"/>
                <w:sz w:val="18"/>
              </w:rPr>
              <w:t>6</w:t>
            </w:r>
          </w:p>
        </w:tc>
        <w:tc>
          <w:tcPr>
            <w:tcW w:type="dxa" w:w="1325"/>
            <w:shd w:fill="F1F3F5"/>
          </w:tcPr>
          <w:p>
            <w:pPr>
              <w:spacing w:after="0"/>
              <w:jc w:val="left"/>
            </w:pPr>
            <w:r>
              <w:rPr>
                <w:rFonts w:ascii="Times New Roman" w:hAnsi="Times New Roman" w:eastAsia="Times New Roman"/>
                <w:b w:val="0"/>
                <w:i w:val="0"/>
                <w:sz w:val="18"/>
              </w:rPr>
              <w:t>GitHub Copilot</w:t>
              <w:br/>
              <w:t>Data mining</w:t>
            </w:r>
          </w:p>
        </w:tc>
        <w:tc>
          <w:tcPr>
            <w:tcW w:type="dxa" w:w="4536"/>
            <w:shd w:fill="F1F3F5"/>
          </w:tcPr>
          <w:p>
            <w:pPr>
              <w:spacing w:after="0"/>
              <w:jc w:val="left"/>
            </w:pPr>
            <w:r>
              <w:rPr>
                <w:rFonts w:ascii="Times New Roman" w:hAnsi="Times New Roman" w:eastAsia="Times New Roman"/>
                <w:b w:val="0"/>
                <w:i w:val="0"/>
                <w:sz w:val="18"/>
              </w:rPr>
              <w:t>Propose reproducible Python steps for review clustering and association-rule analysis after data cleaning. Keep output artefacts separate, provide parameters in code comments, and describe how a manager should interpret groups and co-occurrences without treating them as causal findings.</w:t>
            </w:r>
          </w:p>
        </w:tc>
        <w:tc>
          <w:tcPr>
            <w:tcW w:type="dxa" w:w="2981"/>
            <w:shd w:fill="F1F3F5"/>
          </w:tcPr>
          <w:p>
            <w:pPr>
              <w:spacing w:after="0"/>
              <w:jc w:val="left"/>
            </w:pPr>
            <w:r>
              <w:rPr>
                <w:rFonts w:ascii="Times New Roman" w:hAnsi="Times New Roman" w:eastAsia="Times New Roman"/>
                <w:b w:val="0"/>
                <w:i w:val="0"/>
                <w:sz w:val="18"/>
              </w:rPr>
              <w:t>Output: code and interpretation scaffold. Use: informed cluster, recurring review-group, and association views. Reflection: groups summarize patterns in the available sample and must be checked against real reviews.</w:t>
            </w:r>
          </w:p>
        </w:tc>
      </w:tr>
      <w:tr>
        <w:trPr>
          <w:cantSplit/>
        </w:trPr>
        <w:tc>
          <w:tcPr>
            <w:tcW w:type="dxa" w:w="518"/>
          </w:tcPr>
          <w:p>
            <w:pPr>
              <w:spacing w:after="0"/>
              <w:jc w:val="center"/>
            </w:pPr>
            <w:r>
              <w:rPr>
                <w:rFonts w:ascii="Times New Roman" w:hAnsi="Times New Roman" w:eastAsia="Times New Roman"/>
                <w:b w:val="0"/>
                <w:i w:val="0"/>
                <w:sz w:val="18"/>
              </w:rPr>
              <w:t>7</w:t>
            </w:r>
          </w:p>
        </w:tc>
        <w:tc>
          <w:tcPr>
            <w:tcW w:type="dxa" w:w="1325"/>
          </w:tcPr>
          <w:p>
            <w:pPr>
              <w:spacing w:after="0"/>
              <w:jc w:val="left"/>
            </w:pPr>
            <w:r>
              <w:rPr>
                <w:rFonts w:ascii="Times New Roman" w:hAnsi="Times New Roman" w:eastAsia="Times New Roman"/>
                <w:b w:val="0"/>
                <w:i w:val="0"/>
                <w:sz w:val="18"/>
              </w:rPr>
              <w:t>Codex</w:t>
              <w:br/>
              <w:t>Predictive monitoring</w:t>
            </w:r>
          </w:p>
        </w:tc>
        <w:tc>
          <w:tcPr>
            <w:tcW w:type="dxa" w:w="4536"/>
          </w:tcPr>
          <w:p>
            <w:pPr>
              <w:spacing w:after="0"/>
              <w:jc w:val="left"/>
            </w:pPr>
            <w:r>
              <w:rPr>
                <w:rFonts w:ascii="Times New Roman" w:hAnsi="Times New Roman" w:eastAsia="Times New Roman"/>
                <w:b w:val="0"/>
                <w:i w:val="0"/>
                <w:sz w:val="18"/>
              </w:rPr>
              <w:t>Design a transparent monthly monitoring workflow for branch ratings. Produce observed trend, linear forecast, uncertainty display, and anomaly flags. Clearly label forecasts as unvalidated and recommend manager review rather than automatic intervention.</w:t>
            </w:r>
          </w:p>
        </w:tc>
        <w:tc>
          <w:tcPr>
            <w:tcW w:type="dxa" w:w="2981"/>
          </w:tcPr>
          <w:p>
            <w:pPr>
              <w:spacing w:after="0"/>
              <w:jc w:val="left"/>
            </w:pPr>
            <w:r>
              <w:rPr>
                <w:rFonts w:ascii="Times New Roman" w:hAnsi="Times New Roman" w:eastAsia="Times New Roman"/>
                <w:b w:val="0"/>
                <w:i w:val="0"/>
                <w:sz w:val="18"/>
              </w:rPr>
              <w:t>Output: monitoring design and caveats. Use: informed Predictive Analytics and Anomaly Center views. Reflection: early warnings identify where to look, not what definitely happened or will happen.</w:t>
            </w:r>
          </w:p>
        </w:tc>
      </w:tr>
      <w:tr>
        <w:trPr>
          <w:cantSplit/>
        </w:trPr>
        <w:tc>
          <w:tcPr>
            <w:tcW w:type="dxa" w:w="518"/>
            <w:shd w:fill="F1F3F5"/>
          </w:tcPr>
          <w:p>
            <w:pPr>
              <w:spacing w:after="0"/>
              <w:jc w:val="center"/>
            </w:pPr>
            <w:r>
              <w:rPr>
                <w:rFonts w:ascii="Times New Roman" w:hAnsi="Times New Roman" w:eastAsia="Times New Roman"/>
                <w:b w:val="0"/>
                <w:i w:val="0"/>
                <w:sz w:val="18"/>
              </w:rPr>
              <w:t>8</w:t>
            </w:r>
          </w:p>
        </w:tc>
        <w:tc>
          <w:tcPr>
            <w:tcW w:type="dxa" w:w="1325"/>
            <w:shd w:fill="F1F3F5"/>
          </w:tcPr>
          <w:p>
            <w:pPr>
              <w:spacing w:after="0"/>
              <w:jc w:val="left"/>
            </w:pPr>
            <w:r>
              <w:rPr>
                <w:rFonts w:ascii="Times New Roman" w:hAnsi="Times New Roman" w:eastAsia="Times New Roman"/>
                <w:b w:val="0"/>
                <w:i w:val="0"/>
                <w:sz w:val="18"/>
              </w:rPr>
              <w:t>Claude</w:t>
              <w:br/>
              <w:t>Dashboard design</w:t>
            </w:r>
          </w:p>
        </w:tc>
        <w:tc>
          <w:tcPr>
            <w:tcW w:type="dxa" w:w="4536"/>
            <w:shd w:fill="F1F3F5"/>
          </w:tcPr>
          <w:p>
            <w:pPr>
              <w:spacing w:after="0"/>
              <w:jc w:val="left"/>
            </w:pPr>
            <w:r>
              <w:rPr>
                <w:rFonts w:ascii="Times New Roman" w:hAnsi="Times New Roman" w:eastAsia="Times New Roman"/>
                <w:b w:val="0"/>
                <w:i w:val="0"/>
                <w:sz w:val="18"/>
              </w:rPr>
              <w:t>For a Streamlit restaurant-review intelligence app, propose a logical set of pages that helps a manager explore executive overview, sentiment, themes, mining, forecasts, anomalies, branch intelligence, and AI-assisted questions. Keep collected, derived, and predicted evidence visibly distinct.</w:t>
            </w:r>
          </w:p>
        </w:tc>
        <w:tc>
          <w:tcPr>
            <w:tcW w:type="dxa" w:w="2981"/>
            <w:shd w:fill="F1F3F5"/>
          </w:tcPr>
          <w:p>
            <w:pPr>
              <w:spacing w:after="0"/>
              <w:jc w:val="left"/>
            </w:pPr>
            <w:r>
              <w:rPr>
                <w:rFonts w:ascii="Times New Roman" w:hAnsi="Times New Roman" w:eastAsia="Times New Roman"/>
                <w:b w:val="0"/>
                <w:i w:val="0"/>
                <w:sz w:val="18"/>
              </w:rPr>
              <w:t>Output: information architecture and visual roles. Use: shaped the page structure and labels of the deployed dashboard. Reflection: the pages reduce cognitive load by separating descriptive, mined, and predictive evidence.</w:t>
            </w:r>
          </w:p>
        </w:tc>
      </w:tr>
      <w:tr>
        <w:trPr>
          <w:cantSplit/>
        </w:trPr>
        <w:tc>
          <w:tcPr>
            <w:tcW w:type="dxa" w:w="518"/>
          </w:tcPr>
          <w:p>
            <w:pPr>
              <w:spacing w:after="0"/>
              <w:jc w:val="center"/>
            </w:pPr>
            <w:r>
              <w:rPr>
                <w:rFonts w:ascii="Times New Roman" w:hAnsi="Times New Roman" w:eastAsia="Times New Roman"/>
                <w:b w:val="0"/>
                <w:i w:val="0"/>
                <w:sz w:val="18"/>
              </w:rPr>
              <w:t>9</w:t>
            </w:r>
          </w:p>
        </w:tc>
        <w:tc>
          <w:tcPr>
            <w:tcW w:type="dxa" w:w="1325"/>
          </w:tcPr>
          <w:p>
            <w:pPr>
              <w:spacing w:after="0"/>
              <w:jc w:val="left"/>
            </w:pPr>
            <w:r>
              <w:rPr>
                <w:rFonts w:ascii="Times New Roman" w:hAnsi="Times New Roman" w:eastAsia="Times New Roman"/>
                <w:b w:val="0"/>
                <w:i w:val="0"/>
                <w:sz w:val="18"/>
              </w:rPr>
              <w:t>Project AI Analyst</w:t>
              <w:br/>
              <w:t>Scenario 1</w:t>
            </w:r>
          </w:p>
        </w:tc>
        <w:tc>
          <w:tcPr>
            <w:tcW w:type="dxa" w:w="4536"/>
          </w:tcPr>
          <w:p>
            <w:pPr>
              <w:spacing w:after="0"/>
              <w:jc w:val="left"/>
            </w:pPr>
            <w:r>
              <w:rPr>
                <w:rFonts w:ascii="Times New Roman" w:hAnsi="Times New Roman" w:eastAsia="Times New Roman"/>
                <w:b w:val="0"/>
                <w:i w:val="0"/>
                <w:sz w:val="18"/>
              </w:rPr>
              <w:t>How is Banjara Hills performing and what actions should we take? Use only compact JSON evidence for branch summary, trends, recurring aspects, topics, anomaly signals, and recommended actions. State the evidence basis, uncertainty, and what a manager should validate.</w:t>
            </w:r>
          </w:p>
        </w:tc>
        <w:tc>
          <w:tcPr>
            <w:tcW w:type="dxa" w:w="2981"/>
          </w:tcPr>
          <w:p>
            <w:pPr>
              <w:spacing w:after="0"/>
              <w:jc w:val="left"/>
            </w:pPr>
            <w:r>
              <w:rPr>
                <w:rFonts w:ascii="Times New Roman" w:hAnsi="Times New Roman" w:eastAsia="Times New Roman"/>
                <w:b w:val="0"/>
                <w:i w:val="0"/>
                <w:sz w:val="18"/>
              </w:rPr>
              <w:t>Output: grounded branch investigation response. Use: demonstrated the AI Analyst page and report scenario. Reflection: the orchestrator routes the query and supplies compact evidence; the manager remains accountable for action.</w:t>
            </w:r>
          </w:p>
        </w:tc>
      </w:tr>
      <w:tr>
        <w:trPr>
          <w:cantSplit/>
        </w:trPr>
        <w:tc>
          <w:tcPr>
            <w:tcW w:type="dxa" w:w="518"/>
            <w:shd w:fill="F1F3F5"/>
          </w:tcPr>
          <w:p>
            <w:pPr>
              <w:spacing w:after="0"/>
              <w:jc w:val="center"/>
            </w:pPr>
            <w:r>
              <w:rPr>
                <w:rFonts w:ascii="Times New Roman" w:hAnsi="Times New Roman" w:eastAsia="Times New Roman"/>
                <w:b w:val="0"/>
                <w:i w:val="0"/>
                <w:sz w:val="18"/>
              </w:rPr>
              <w:t>10</w:t>
            </w:r>
          </w:p>
        </w:tc>
        <w:tc>
          <w:tcPr>
            <w:tcW w:type="dxa" w:w="1325"/>
            <w:shd w:fill="F1F3F5"/>
          </w:tcPr>
          <w:p>
            <w:pPr>
              <w:spacing w:after="0"/>
              <w:jc w:val="left"/>
            </w:pPr>
            <w:r>
              <w:rPr>
                <w:rFonts w:ascii="Times New Roman" w:hAnsi="Times New Roman" w:eastAsia="Times New Roman"/>
                <w:b w:val="0"/>
                <w:i w:val="0"/>
                <w:sz w:val="18"/>
              </w:rPr>
              <w:t>Project AI Analyst</w:t>
              <w:br/>
              <w:t>Scenario 2</w:t>
            </w:r>
          </w:p>
        </w:tc>
        <w:tc>
          <w:tcPr>
            <w:tcW w:type="dxa" w:w="4536"/>
            <w:shd w:fill="F1F3F5"/>
          </w:tcPr>
          <w:p>
            <w:pPr>
              <w:spacing w:after="0"/>
              <w:jc w:val="left"/>
            </w:pPr>
            <w:r>
              <w:rPr>
                <w:rFonts w:ascii="Times New Roman" w:hAnsi="Times New Roman" w:eastAsia="Times New Roman"/>
                <w:b w:val="0"/>
                <w:i w:val="0"/>
                <w:sz w:val="18"/>
              </w:rPr>
              <w:t>Compare Banjara Hills and Gachibowli. Which branch needs priority attention and why? Use only supplied branch summaries, review volume, rating trends, anomaly status, and recurring themes. Do not claim causality or make unsupported ranking statements.</w:t>
            </w:r>
          </w:p>
        </w:tc>
        <w:tc>
          <w:tcPr>
            <w:tcW w:type="dxa" w:w="2981"/>
            <w:shd w:fill="F1F3F5"/>
          </w:tcPr>
          <w:p>
            <w:pPr>
              <w:spacing w:after="0"/>
              <w:jc w:val="left"/>
            </w:pPr>
            <w:r>
              <w:rPr>
                <w:rFonts w:ascii="Times New Roman" w:hAnsi="Times New Roman" w:eastAsia="Times New Roman"/>
                <w:b w:val="0"/>
                <w:i w:val="0"/>
                <w:sz w:val="18"/>
              </w:rPr>
              <w:t>Output: comparative evidence narrative with cautions. Use: demonstrated cross-branch prioritisation. Reflection: unequal review volumes and observational data require context before a management decision.</w:t>
            </w:r>
          </w:p>
        </w:tc>
      </w:tr>
      <w:tr>
        <w:trPr>
          <w:cantSplit/>
        </w:trPr>
        <w:tc>
          <w:tcPr>
            <w:tcW w:type="dxa" w:w="518"/>
          </w:tcPr>
          <w:p>
            <w:pPr>
              <w:spacing w:after="0"/>
              <w:jc w:val="center"/>
            </w:pPr>
            <w:r>
              <w:rPr>
                <w:rFonts w:ascii="Times New Roman" w:hAnsi="Times New Roman" w:eastAsia="Times New Roman"/>
                <w:b w:val="0"/>
                <w:i w:val="0"/>
                <w:sz w:val="18"/>
              </w:rPr>
              <w:t>11</w:t>
            </w:r>
          </w:p>
        </w:tc>
        <w:tc>
          <w:tcPr>
            <w:tcW w:type="dxa" w:w="1325"/>
          </w:tcPr>
          <w:p>
            <w:pPr>
              <w:spacing w:after="0"/>
              <w:jc w:val="left"/>
            </w:pPr>
            <w:r>
              <w:rPr>
                <w:rFonts w:ascii="Times New Roman" w:hAnsi="Times New Roman" w:eastAsia="Times New Roman"/>
                <w:b w:val="0"/>
                <w:i w:val="0"/>
                <w:sz w:val="18"/>
              </w:rPr>
              <w:t>ChatGPT</w:t>
              <w:br/>
              <w:t>Business implications</w:t>
            </w:r>
          </w:p>
        </w:tc>
        <w:tc>
          <w:tcPr>
            <w:tcW w:type="dxa" w:w="4536"/>
          </w:tcPr>
          <w:p>
            <w:pPr>
              <w:spacing w:after="0"/>
              <w:jc w:val="left"/>
            </w:pPr>
            <w:r>
              <w:rPr>
                <w:rFonts w:ascii="Times New Roman" w:hAnsi="Times New Roman" w:eastAsia="Times New Roman"/>
                <w:b w:val="0"/>
                <w:i w:val="0"/>
                <w:sz w:val="18"/>
              </w:rPr>
              <w:t>Translate evidence from sentiment, topics, clusters, forecasts, and anomalies into cautious restaurant-management implications. Separate observed facts, derived signals, predicted indicators, and recommended actions. Do not add metrics that are not present in the supplied evidence.</w:t>
            </w:r>
          </w:p>
        </w:tc>
        <w:tc>
          <w:tcPr>
            <w:tcW w:type="dxa" w:w="2981"/>
          </w:tcPr>
          <w:p>
            <w:pPr>
              <w:spacing w:after="0"/>
              <w:jc w:val="left"/>
            </w:pPr>
            <w:r>
              <w:rPr>
                <w:rFonts w:ascii="Times New Roman" w:hAnsi="Times New Roman" w:eastAsia="Times New Roman"/>
                <w:b w:val="0"/>
                <w:i w:val="0"/>
                <w:sz w:val="18"/>
              </w:rPr>
              <w:t>Output: recommendation structure. Use: supported business-implication writing. Reflection: recommendations were grounded in project artefacts and clearly distinguished from proven outcomes.</w:t>
            </w:r>
          </w:p>
        </w:tc>
      </w:tr>
      <w:tr>
        <w:trPr>
          <w:cantSplit/>
        </w:trPr>
        <w:tc>
          <w:tcPr>
            <w:tcW w:type="dxa" w:w="518"/>
            <w:shd w:fill="F1F3F5"/>
          </w:tcPr>
          <w:p>
            <w:pPr>
              <w:spacing w:after="0"/>
              <w:jc w:val="center"/>
            </w:pPr>
            <w:r>
              <w:rPr>
                <w:rFonts w:ascii="Times New Roman" w:hAnsi="Times New Roman" w:eastAsia="Times New Roman"/>
                <w:b w:val="0"/>
                <w:i w:val="0"/>
                <w:sz w:val="18"/>
              </w:rPr>
              <w:t>12</w:t>
            </w:r>
          </w:p>
        </w:tc>
        <w:tc>
          <w:tcPr>
            <w:tcW w:type="dxa" w:w="1325"/>
            <w:shd w:fill="F1F3F5"/>
          </w:tcPr>
          <w:p>
            <w:pPr>
              <w:spacing w:after="0"/>
              <w:jc w:val="left"/>
            </w:pPr>
            <w:r>
              <w:rPr>
                <w:rFonts w:ascii="Times New Roman" w:hAnsi="Times New Roman" w:eastAsia="Times New Roman"/>
                <w:b w:val="0"/>
                <w:i w:val="0"/>
                <w:sz w:val="18"/>
              </w:rPr>
              <w:t>Codex</w:t>
              <w:br/>
              <w:t>Submission QA</w:t>
            </w:r>
          </w:p>
        </w:tc>
        <w:tc>
          <w:tcPr>
            <w:tcW w:type="dxa" w:w="4536"/>
            <w:shd w:fill="F1F3F5"/>
          </w:tcPr>
          <w:p>
            <w:pPr>
              <w:spacing w:after="0"/>
              <w:jc w:val="left"/>
            </w:pPr>
            <w:r>
              <w:rPr>
                <w:rFonts w:ascii="Times New Roman" w:hAnsi="Times New Roman" w:eastAsia="Times New Roman"/>
                <w:b w:val="0"/>
                <w:i w:val="0"/>
                <w:sz w:val="18"/>
              </w:rPr>
              <w:t>Check the DMPA submission against this brief: business objectives, methodology, AI details, step-by-step prompts and outputs, results and discussion, business implications, visuals, runnable links, references, and no unsupported claims. Identify evidence-backed corrections only.</w:t>
            </w:r>
          </w:p>
        </w:tc>
        <w:tc>
          <w:tcPr>
            <w:tcW w:type="dxa" w:w="2981"/>
            <w:shd w:fill="F1F3F5"/>
          </w:tcPr>
          <w:p>
            <w:pPr>
              <w:spacing w:after="0"/>
              <w:jc w:val="left"/>
            </w:pPr>
            <w:r>
              <w:rPr>
                <w:rFonts w:ascii="Times New Roman" w:hAnsi="Times New Roman" w:eastAsia="Times New Roman"/>
                <w:b w:val="0"/>
                <w:i w:val="0"/>
                <w:sz w:val="18"/>
              </w:rPr>
              <w:t>Output: final QA checklist. Use: supported report, slides, and logbook review. Reflection: visual rendering and local-artifact checks were used before finalizing the submission files.</w:t>
            </w:r>
          </w:p>
        </w:tc>
      </w:tr>
    </w:tbl>
    <w:p>
      <w:pPr>
        <w:spacing w:after="20"/>
      </w:pPr>
    </w:p>
    <w:p>
      <w:pPr>
        <w:pStyle w:val="Heading1"/>
        <w:pBdr>
          <w:bottom w:val="single" w:sz="10" w:space="6" w:color="B9912F"/>
        </w:pBdr>
      </w:pPr>
      <w:r>
        <w:t>Verification and Reflection</w:t>
      </w:r>
    </w:p>
    <w:p>
      <w:pPr>
        <w:spacing w:before="0" w:after="140"/>
        <w:jc w:val="both"/>
      </w:pPr>
      <w:r>
        <w:rPr>
          <w:rFonts w:ascii="Times New Roman" w:hAnsi="Times New Roman" w:eastAsia="Times New Roman"/>
          <w:b w:val="0"/>
          <w:i w:val="0"/>
          <w:sz w:val="24"/>
        </w:rPr>
        <w:t>The project uses deterministic local analytics for all numerical evidence, including dataset and branch summaries, NLP outputs, association rules, clusters, anomaly results, and forecast outputs. AI assistance helped make the workflow more usable and explainable, but it was never treated as a substitute for data validation. The strongest practice is to preserve the original evidence, label derived and predicted outputs, send only compact evidence to the AI Analyst, and require a human manager to validate recommendations.</w:t>
      </w:r>
    </w:p>
    <w:p>
      <w:pPr>
        <w:pStyle w:val="Heading1"/>
        <w:pBdr>
          <w:bottom w:val="single" w:sz="10" w:space="6" w:color="B9912F"/>
        </w:pBdr>
      </w:pPr>
      <w:r>
        <w:t>Technical Evidence Used</w:t>
      </w:r>
    </w:p>
    <w:p>
      <w:pPr>
        <w:spacing w:after="100"/>
        <w:jc w:val="both"/>
      </w:pPr>
      <w:r>
        <w:rPr>
          <w:rFonts w:ascii="Times New Roman" w:hAnsi="Times New Roman" w:eastAsia="Times New Roman"/>
          <w:b/>
          <w:i w:val="0"/>
          <w:color w:val="6F1D2A"/>
          <w:sz w:val="24"/>
        </w:rPr>
        <w:t xml:space="preserve">Data pipeline. </w:t>
      </w:r>
      <w:r>
        <w:rPr>
          <w:rFonts w:ascii="Times New Roman" w:hAnsi="Times New Roman" w:eastAsia="Times New Roman"/>
          <w:b w:val="0"/>
          <w:i w:val="0"/>
          <w:sz w:val="24"/>
        </w:rPr>
        <w:t>src/pipeline.py reads raw exports, normalizes reviews, runs deterministic analytics, and writes output artefacts without modifying raw files.</w:t>
      </w:r>
    </w:p>
    <w:p>
      <w:pPr>
        <w:spacing w:after="100"/>
        <w:jc w:val="both"/>
      </w:pPr>
      <w:r>
        <w:rPr>
          <w:rFonts w:ascii="Times New Roman" w:hAnsi="Times New Roman" w:eastAsia="Times New Roman"/>
          <w:b/>
          <w:i w:val="0"/>
          <w:color w:val="6F1D2A"/>
          <w:sz w:val="24"/>
        </w:rPr>
        <w:t xml:space="preserve">Data mining. </w:t>
      </w:r>
      <w:r>
        <w:rPr>
          <w:rFonts w:ascii="Times New Roman" w:hAnsi="Times New Roman" w:eastAsia="Times New Roman"/>
          <w:b w:val="0"/>
          <w:i w:val="0"/>
          <w:sz w:val="24"/>
        </w:rPr>
        <w:t>The project produces transparent topic, aspect, cluster, association, anomaly, and forecast artefacts under results/tables for review and reuse.</w:t>
      </w:r>
    </w:p>
    <w:p>
      <w:pPr>
        <w:spacing w:after="100"/>
        <w:jc w:val="both"/>
      </w:pPr>
      <w:r>
        <w:rPr>
          <w:rFonts w:ascii="Times New Roman" w:hAnsi="Times New Roman" w:eastAsia="Times New Roman"/>
          <w:b/>
          <w:i w:val="0"/>
          <w:color w:val="6F1D2A"/>
          <w:sz w:val="24"/>
        </w:rPr>
        <w:t xml:space="preserve">AI Analyst. </w:t>
      </w:r>
      <w:r>
        <w:rPr>
          <w:rFonts w:ascii="Times New Roman" w:hAnsi="Times New Roman" w:eastAsia="Times New Roman"/>
          <w:b w:val="0"/>
          <w:i w:val="0"/>
          <w:sz w:val="24"/>
        </w:rPr>
        <w:t>src/agents/orchestrator.py detects branch, comparison, period, and action intent before passing compact evidence to the response layer.</w:t>
      </w:r>
    </w:p>
    <w:p>
      <w:pPr>
        <w:spacing w:after="100"/>
        <w:jc w:val="both"/>
      </w:pPr>
      <w:r>
        <w:rPr>
          <w:rFonts w:ascii="Times New Roman" w:hAnsi="Times New Roman" w:eastAsia="Times New Roman"/>
          <w:b/>
          <w:i w:val="0"/>
          <w:color w:val="6F1D2A"/>
          <w:sz w:val="24"/>
        </w:rPr>
        <w:t xml:space="preserve">Verification. </w:t>
      </w:r>
      <w:r>
        <w:rPr>
          <w:rFonts w:ascii="Times New Roman" w:hAnsi="Times New Roman" w:eastAsia="Times New Roman"/>
          <w:b w:val="0"/>
          <w:i w:val="0"/>
          <w:sz w:val="24"/>
        </w:rPr>
        <w:t>The live dashboard, project reports, slides, repository, and Google Maps branch sources were cross-checked before submission.</w:t>
      </w:r>
    </w:p>
    <w:p>
      <w:pPr>
        <w:pStyle w:val="Heading1"/>
        <w:pBdr>
          <w:bottom w:val="single" w:sz="10" w:space="6" w:color="B9912F"/>
        </w:pBdr>
      </w:pPr>
      <w:r>
        <w:t>Access and Prompt-Control Checklist</w:t>
      </w:r>
    </w:p>
    <w:p>
      <w:pPr>
        <w:spacing w:before="0" w:after="140"/>
        <w:jc w:val="both"/>
      </w:pPr>
      <w:r>
        <w:rPr>
          <w:rFonts w:ascii="Times New Roman" w:hAnsi="Times New Roman" w:eastAsia="Times New Roman"/>
          <w:b w:val="0"/>
          <w:i w:val="0"/>
          <w:sz w:val="24"/>
        </w:rPr>
        <w:t>The following controls make future prompt use repeatable and suitable for an academic analytics project. They are also the practical boundary between AI assistance and the deterministic evidence base.</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tcMar>
              <w:top w:w="90" w:type="dxa"/>
              <w:start w:w="120" w:type="dxa"/>
              <w:bottom w:w="90" w:type="dxa"/>
              <w:end w:w="120" w:type="dxa"/>
            </w:tcMar>
            <w:vAlign w:val="center"/>
            <w:shd w:fill="6F1D2A"/>
          </w:tcPr>
          <w:p>
            <w:pPr>
              <w:spacing w:after="0"/>
              <w:jc w:val="center"/>
            </w:pPr>
            <w:r>
              <w:rPr>
                <w:rFonts w:ascii="Times New Roman" w:hAnsi="Times New Roman" w:eastAsia="Times New Roman"/>
                <w:b/>
                <w:i w:val="0"/>
                <w:color w:val="FFFFFF"/>
                <w:sz w:val="20"/>
              </w:rPr>
              <w:t>Control</w:t>
            </w:r>
          </w:p>
        </w:tc>
        <w:tc>
          <w:tcPr>
            <w:tcW w:type="dxa" w:w="7128"/>
            <w:tcMar>
              <w:top w:w="90" w:type="dxa"/>
              <w:start w:w="120" w:type="dxa"/>
              <w:bottom w:w="90" w:type="dxa"/>
              <w:end w:w="120" w:type="dxa"/>
            </w:tcMar>
            <w:vAlign w:val="center"/>
            <w:shd w:fill="6F1D2A"/>
          </w:tcPr>
          <w:p>
            <w:pPr>
              <w:spacing w:after="0"/>
              <w:jc w:val="center"/>
            </w:pPr>
            <w:r>
              <w:rPr>
                <w:rFonts w:ascii="Times New Roman" w:hAnsi="Times New Roman" w:eastAsia="Times New Roman"/>
                <w:b/>
                <w:i w:val="0"/>
                <w:color w:val="FFFFFF"/>
                <w:sz w:val="20"/>
              </w:rPr>
              <w:t>Required practice</w:t>
            </w:r>
          </w:p>
        </w:tc>
      </w:tr>
      <w:tr>
        <w:trPr>
          <w:cantSplit/>
        </w:trPr>
        <w:tc>
          <w:tcPr>
            <w:tcW w:type="dxa" w:w="2232"/>
          </w:tcPr>
          <w:p>
            <w:pPr>
              <w:spacing w:after="0"/>
              <w:jc w:val="left"/>
            </w:pPr>
            <w:r>
              <w:rPr>
                <w:rFonts w:ascii="Times New Roman" w:hAnsi="Times New Roman" w:eastAsia="Times New Roman"/>
                <w:b w:val="0"/>
                <w:i w:val="0"/>
                <w:sz w:val="20"/>
              </w:rPr>
              <w:t>Task scope</w:t>
            </w:r>
          </w:p>
        </w:tc>
        <w:tc>
          <w:tcPr>
            <w:tcW w:type="dxa" w:w="7128"/>
          </w:tcPr>
          <w:p>
            <w:pPr>
              <w:spacing w:after="0"/>
              <w:jc w:val="left"/>
            </w:pPr>
            <w:r>
              <w:rPr>
                <w:rFonts w:ascii="Times New Roman" w:hAnsi="Times New Roman" w:eastAsia="Times New Roman"/>
                <w:b w:val="0"/>
                <w:i w:val="0"/>
                <w:sz w:val="20"/>
              </w:rPr>
              <w:t>Use one analytical question per prompt and state the required output clearly.</w:t>
            </w:r>
          </w:p>
        </w:tc>
      </w:tr>
      <w:tr>
        <w:trPr>
          <w:cantSplit/>
        </w:trPr>
        <w:tc>
          <w:tcPr>
            <w:tcW w:type="dxa" w:w="2232"/>
            <w:shd w:fill="F1F3F5"/>
          </w:tcPr>
          <w:p>
            <w:pPr>
              <w:spacing w:after="0"/>
              <w:jc w:val="left"/>
            </w:pPr>
            <w:r>
              <w:rPr>
                <w:rFonts w:ascii="Times New Roman" w:hAnsi="Times New Roman" w:eastAsia="Times New Roman"/>
                <w:b w:val="0"/>
                <w:i w:val="0"/>
                <w:sz w:val="20"/>
              </w:rPr>
              <w:t>Data boundary</w:t>
            </w:r>
          </w:p>
        </w:tc>
        <w:tc>
          <w:tcPr>
            <w:tcW w:type="dxa" w:w="7128"/>
            <w:shd w:fill="F1F3F5"/>
          </w:tcPr>
          <w:p>
            <w:pPr>
              <w:spacing w:after="0"/>
              <w:jc w:val="left"/>
            </w:pPr>
            <w:r>
              <w:rPr>
                <w:rFonts w:ascii="Times New Roman" w:hAnsi="Times New Roman" w:eastAsia="Times New Roman"/>
                <w:b w:val="0"/>
                <w:i w:val="0"/>
                <w:sz w:val="20"/>
              </w:rPr>
              <w:t>Inspect schema locally; share compact, de-identified evidence rather than raw review exports.</w:t>
            </w:r>
          </w:p>
        </w:tc>
      </w:tr>
      <w:tr>
        <w:trPr>
          <w:cantSplit/>
        </w:trPr>
        <w:tc>
          <w:tcPr>
            <w:tcW w:type="dxa" w:w="2232"/>
          </w:tcPr>
          <w:p>
            <w:pPr>
              <w:spacing w:after="0"/>
              <w:jc w:val="left"/>
            </w:pPr>
            <w:r>
              <w:rPr>
                <w:rFonts w:ascii="Times New Roman" w:hAnsi="Times New Roman" w:eastAsia="Times New Roman"/>
                <w:b w:val="0"/>
                <w:i w:val="0"/>
                <w:sz w:val="20"/>
              </w:rPr>
              <w:t>Evidence label</w:t>
            </w:r>
          </w:p>
        </w:tc>
        <w:tc>
          <w:tcPr>
            <w:tcW w:type="dxa" w:w="7128"/>
          </w:tcPr>
          <w:p>
            <w:pPr>
              <w:spacing w:after="0"/>
              <w:jc w:val="left"/>
            </w:pPr>
            <w:r>
              <w:rPr>
                <w:rFonts w:ascii="Times New Roman" w:hAnsi="Times New Roman" w:eastAsia="Times New Roman"/>
                <w:b w:val="0"/>
                <w:i w:val="0"/>
                <w:sz w:val="20"/>
              </w:rPr>
              <w:t>Separate collected facts, derived analytics, predictions, and recommendations in every answer.</w:t>
            </w:r>
          </w:p>
        </w:tc>
      </w:tr>
      <w:tr>
        <w:trPr>
          <w:cantSplit/>
        </w:trPr>
        <w:tc>
          <w:tcPr>
            <w:tcW w:type="dxa" w:w="2232"/>
            <w:shd w:fill="F1F3F5"/>
          </w:tcPr>
          <w:p>
            <w:pPr>
              <w:spacing w:after="0"/>
              <w:jc w:val="left"/>
            </w:pPr>
            <w:r>
              <w:rPr>
                <w:rFonts w:ascii="Times New Roman" w:hAnsi="Times New Roman" w:eastAsia="Times New Roman"/>
                <w:b w:val="0"/>
                <w:i w:val="0"/>
                <w:sz w:val="20"/>
              </w:rPr>
              <w:t>Validation</w:t>
            </w:r>
          </w:p>
        </w:tc>
        <w:tc>
          <w:tcPr>
            <w:tcW w:type="dxa" w:w="7128"/>
            <w:shd w:fill="F1F3F5"/>
          </w:tcPr>
          <w:p>
            <w:pPr>
              <w:spacing w:after="0"/>
              <w:jc w:val="left"/>
            </w:pPr>
            <w:r>
              <w:rPr>
                <w:rFonts w:ascii="Times New Roman" w:hAnsi="Times New Roman" w:eastAsia="Times New Roman"/>
                <w:b w:val="0"/>
                <w:i w:val="0"/>
                <w:sz w:val="20"/>
              </w:rPr>
              <w:t>Check generated code and narrative against pipeline artefacts, dashboard views, and source review samples.</w:t>
            </w:r>
          </w:p>
        </w:tc>
      </w:tr>
      <w:tr>
        <w:trPr>
          <w:cantSplit/>
        </w:trPr>
        <w:tc>
          <w:tcPr>
            <w:tcW w:type="dxa" w:w="2232"/>
          </w:tcPr>
          <w:p>
            <w:pPr>
              <w:spacing w:after="0"/>
              <w:jc w:val="left"/>
            </w:pPr>
            <w:r>
              <w:rPr>
                <w:rFonts w:ascii="Times New Roman" w:hAnsi="Times New Roman" w:eastAsia="Times New Roman"/>
                <w:b w:val="0"/>
                <w:i w:val="0"/>
                <w:sz w:val="20"/>
              </w:rPr>
              <w:t>Decision rights</w:t>
            </w:r>
          </w:p>
        </w:tc>
        <w:tc>
          <w:tcPr>
            <w:tcW w:type="dxa" w:w="7128"/>
          </w:tcPr>
          <w:p>
            <w:pPr>
              <w:spacing w:after="0"/>
              <w:jc w:val="left"/>
            </w:pPr>
            <w:r>
              <w:rPr>
                <w:rFonts w:ascii="Times New Roman" w:hAnsi="Times New Roman" w:eastAsia="Times New Roman"/>
                <w:b w:val="0"/>
                <w:i w:val="0"/>
                <w:sz w:val="20"/>
              </w:rPr>
              <w:t>Keep branch actions, customer communication, and operational decisions under accountable human review.</w:t>
            </w:r>
          </w:p>
        </w:tc>
      </w:tr>
    </w:tbl>
    <w:p>
      <w:pPr>
        <w:spacing w:after="20"/>
      </w:pPr>
    </w:p>
    <w:p>
      <w:pPr>
        <w:spacing w:after="40"/>
      </w:pPr>
      <w:r>
        <w:rPr>
          <w:rFonts w:ascii="Times New Roman" w:hAnsi="Times New Roman" w:eastAsia="Times New Roman"/>
          <w:b/>
          <w:i w:val="0"/>
          <w:color w:val="6F1D2A"/>
          <w:sz w:val="22"/>
        </w:rPr>
        <w:t xml:space="preserve">Repository: </w:t>
      </w:r>
      <w:hyperlink r:id="rId12">
        <w:r>
          <w:rPr>
            <w:rFonts w:ascii="Times New Roman" w:hAnsi="Times New Roman"/>
            <w:color w:val="0563C1"/>
            <w:u w:val="single"/>
            <w:sz w:val="24"/>
          </w:rPr>
          <w:t>https://github.com/im45145v/Mandi360</w:t>
        </w:r>
      </w:hyperlink>
    </w:p>
    <w:p>
      <w:pPr>
        <w:spacing w:after="40"/>
      </w:pPr>
      <w:r>
        <w:rPr>
          <w:rFonts w:ascii="Times New Roman" w:hAnsi="Times New Roman" w:eastAsia="Times New Roman"/>
          <w:b/>
          <w:i w:val="0"/>
          <w:color w:val="6F1D2A"/>
          <w:sz w:val="22"/>
        </w:rPr>
        <w:t xml:space="preserve">Live dashboard: </w:t>
      </w:r>
      <w:hyperlink r:id="rId13">
        <w:r>
          <w:rPr>
            <w:rFonts w:ascii="Times New Roman" w:hAnsi="Times New Roman"/>
            <w:color w:val="0563C1"/>
            <w:u w:val="single"/>
            <w:sz w:val="24"/>
          </w:rPr>
          <w:t>https://mandi36.streamlit.app/</w:t>
        </w:r>
      </w:hyperlink>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666666"/>
        <w:sz w:val="20"/>
      </w:rPr>
      <w:t xml:space="preserve">Malla Venkata Sai Ashish | B31-25 | Page </w:t>
    </w:r>
    <w:fldSimple w:instr="PAGE">
      <w:r>
        <w:rPr>
          <w:rFonts w:ascii="Times New Roman" w:hAnsi="Times New Roman"/>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10" w:space="6" w:color="B9912F"/>
      </w:pBdr>
    </w:pPr>
    <w:r>
      <w:rPr>
        <w:rFonts w:ascii="Times New Roman" w:hAnsi="Times New Roman" w:eastAsia="Times New Roman"/>
        <w:b w:val="0"/>
        <w:i w:val="0"/>
        <w:color w:val="666666"/>
        <w:sz w:val="20"/>
      </w:rPr>
      <w:t>Mandi @ 36 | DMPA Prompt Logbook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4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b/>
      <w:bCs/>
      <w:color w:val="6F1D2A"/>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Times New Roman" w:hAnsi="Times New Roman"/>
      <w:b/>
      <w:bCs/>
      <w:color w:val="6F1D2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im45145v/Mandi360" TargetMode="External"/><Relationship Id="rId13" Type="http://schemas.openxmlformats.org/officeDocument/2006/relationships/hyperlink" Target="https://mandi36.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