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10"/>
        <w:gridCol w:w="3570"/>
        <w:gridCol w:w="3531"/>
        <w:gridCol w:w="1771"/>
        <w:tblGridChange w:id="0">
          <w:tblGrid>
            <w:gridCol w:w="1810"/>
            <w:gridCol w:w="3570"/>
            <w:gridCol w:w="3531"/>
            <w:gridCol w:w="1771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Accommodation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Collaboration</w:t>
            </w:r>
          </w:p>
        </w:tc>
      </w:tr>
      <w:tr>
        <w:trPr>
          <w:cantSplit w:val="0"/>
          <w:trHeight w:val="452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you find you’re wrong and to allow a better position to be heard.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learn, and to show your reasonableness.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issues are more important to others than to you and to satisfy others and maintain cooperation.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build social credits for later issues.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minimize loss when outmatched and losing.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harmony and stability are especially important.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allow employees to develop by learning from mistakes</w:t>
            </w:r>
          </w:p>
          <w:p w:rsidR="00000000" w:rsidDel="00000000" w:rsidP="00000000" w:rsidRDefault="00000000" w:rsidRPr="00000000" w14:paraId="0000000D">
            <w:pPr>
              <w:ind w:left="360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19244" cy="99800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44" cy="998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find an integrative solution when both sets of concerns are too important to be compromised.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your objective is to learn.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merge insights from people with different perspectives.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gain commitment by incorporating concerns into a consensus.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work through feelings those have interfered with a relationship.</w:t>
            </w:r>
          </w:p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63060" cy="1046977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60" cy="10469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Compromise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6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goals are important but not worth the effort of potential disruption of more assertive approaches.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opponents with equal power are committed to mutually exclusive goals.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achieve temporary settlements to complex issues.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arrive at expedient solutions under time pressure.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As a backup when collaboration or competition is unsuccessful.</w:t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46735" cy="1009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73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Avoidance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Competition</w:t>
            </w:r>
          </w:p>
        </w:tc>
      </w:tr>
      <w:tr>
        <w:trPr>
          <w:cantSplit w:val="0"/>
          <w:trHeight w:val="507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an issue is trivial, or more important issues are pressing.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you perceive no chance of satisfying your concerns.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potential disruption outweighs the benefits of resolution.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To let people cool down and regain perspective.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gathering information supersedes immediate decision.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others can resolve the conflict effectively.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issues seem tangential or symptomatic of other issues.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304925" cy="1120862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20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quick, decisive action is vital (in emergencies); on important issues.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 unpopular actions need implementing (in cost cutting, enforcing unpopular rules, discipline).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issues vital to the organization’s welfare.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you know you’re right.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Against people who take advantage of noncompetitive behavior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76991" cy="906759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991" cy="906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Times New Roman" w:cs="Times New Roman" w:eastAsia="Times New Roman" w:hAnsi="Times New Roman"/>
      </w:rPr>
    </w:lvl>
  </w:abstractNum>
  <w:abstractNum w:abstractNumId="4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Times New Roman" w:cs="Times New Roman" w:eastAsia="Times New Roman" w:hAnsi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