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7pt;height:323.25pt" o:ole="">
            <v:imagedata r:id="rId11" o:title=""/>
          </v:shape>
          <o:OLEObject Type="Embed" ProgID="PBrush" ShapeID="_x0000_i1026" DrawAspect="Content" ObjectID="_1523186766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proofErr w:type="gramStart"/>
      <w:r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proofErr w:type="gramEnd"/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к и  механизма подъема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F9761A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proofErr w:type="gramStart"/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 ковша</w:t>
            </w:r>
            <w:proofErr w:type="gramEnd"/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F9761A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F9761A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F9761A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F9761A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326B38" w:rsidP="00743025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</w:rPr>
              <w:t>Интенсивный.</w:t>
            </w:r>
            <w:r>
              <w:rPr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>
              <w:rPr>
                <w:sz w:val="24"/>
                <w:szCs w:val="24"/>
              </w:rPr>
              <w:t>Гринчар</w:t>
            </w:r>
            <w:proofErr w:type="spellEnd"/>
            <w:r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F9761A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>, при котором наибольшую до 99% часть цикла составляет работа в тормозном режиме при максимальном давлении и с малыми скоростями</w:t>
            </w:r>
            <w:r w:rsidR="00397401" w:rsidRPr="00397401">
              <w:rPr>
                <w:sz w:val="24"/>
                <w:szCs w:val="24"/>
              </w:rPr>
              <w:t>[</w:t>
            </w:r>
            <w:proofErr w:type="spellStart"/>
            <w:r w:rsidR="00397401">
              <w:rPr>
                <w:sz w:val="24"/>
                <w:szCs w:val="24"/>
              </w:rPr>
              <w:t>Белянкина</w:t>
            </w:r>
            <w:proofErr w:type="spellEnd"/>
            <w:r w:rsidR="00397401" w:rsidRPr="00397401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эксплуатации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337303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337303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 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337303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 жидкость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337303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337303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337303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337303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.следую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щая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Соответственно скорости штоков определяются формулой ((3.3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proofErr w:type="gramStart"/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следовательно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337303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337303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337303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337303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-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Как видно из рис. 7, а, три положения можно получить уста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новкой на задней крышке основного гидроцилиндра дополнитель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pt;height:30.75pt" o:ole="">
                  <v:imagedata r:id="rId20" o:title=""/>
                </v:shape>
                <o:OLEObject Type="Embed" ProgID="Equation.3" ShapeID="_x0000_i1027" DrawAspect="Content" ObjectID="_1523186767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9.75pt;height:16.5pt" o:ole="">
            <v:imagedata r:id="rId22" o:title=""/>
          </v:shape>
          <o:OLEObject Type="Embed" ProgID="Equation.3" ShapeID="_x0000_i1028" DrawAspect="Content" ObjectID="_1523186768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шения автоколебаний применяется гидроцилиндр с дифферен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а,б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,в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 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реечной передачей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15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-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для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линдра по схеме рис. 8,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75pt;height:36.75pt" o:ole="">
                  <v:imagedata r:id="rId25" o:title=""/>
                </v:shape>
                <o:OLEObject Type="Embed" ProgID="Equation.3" ShapeID="_x0000_i1029" DrawAspect="Content" ObjectID="_1523186769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Крутящий момент на выходном валу шестерни по схеме 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5pt;height:35.25pt" o:ole="">
                  <v:imagedata r:id="rId27" o:title=""/>
                </v:shape>
                <o:OLEObject Type="Embed" ProgID="Equation.3" ShapeID="_x0000_i1030" DrawAspect="Content" ObjectID="_1523186770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(рис. 8,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75pt;height:40.5pt" o:ole="">
                  <v:imagedata r:id="rId29" o:title=""/>
                </v:shape>
                <o:OLEObject Type="Embed" ProgID="Equation.3" ShapeID="_x0000_i1031" DrawAspect="Content" ObjectID="_1523186771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(рис. 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16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)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5pt;height:38.25pt" o:ole="">
                  <v:imagedata r:id="rId32" o:title=""/>
                </v:shape>
                <o:OLEObject Type="Embed" ProgID="Equation.3" ShapeID="_x0000_i1032" DrawAspect="Content" ObjectID="_1523186772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pt;height:30.75pt" o:ole="">
                  <v:imagedata r:id="rId34" o:title=""/>
                </v:shape>
                <o:OLEObject Type="Embed" ProgID="Equation.3" ShapeID="_x0000_i1033" DrawAspect="Content" ObjectID="_1523186773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Комбинированный гидроцилиндр (рис.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чение двух независимых регулируемых движений — вращатель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Одновре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менно от насоса через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5pt;height:33pt" o:ole="">
                  <v:imagedata r:id="rId37" o:title=""/>
                </v:shape>
                <o:OLEObject Type="Embed" ProgID="Equation.3" ShapeID="_x0000_i1034" DrawAspect="Content" ObjectID="_1523186774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3.25pt;height:33pt" o:ole="">
                  <v:imagedata r:id="rId39" o:title=""/>
                </v:shape>
                <o:OLEObject Type="Embed" ProgID="Equation.3" ShapeID="_x0000_i1035" DrawAspect="Content" ObjectID="_1523186775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5.75pt;height:33pt" o:ole="">
                  <v:imagedata r:id="rId41" o:title=""/>
                </v:shape>
                <o:OLEObject Type="Embed" ProgID="Equation.3" ShapeID="_x0000_i1036" DrawAspect="Content" ObjectID="_1523186776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75pt;height:25.5pt" o:ole="">
                  <v:imagedata r:id="rId43" o:title=""/>
                </v:shape>
                <o:OLEObject Type="Embed" ProgID="Equation.3" ShapeID="_x0000_i1037" DrawAspect="Content" ObjectID="_1523186777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1.25pt;height:12.75pt" o:ole="">
            <v:imagedata r:id="rId45" o:title=""/>
          </v:shape>
          <o:OLEObject Type="Embed" ProgID="Equation.3" ShapeID="_x0000_i1038" DrawAspect="Content" ObjectID="_1523186778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0,1 - 0,2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-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-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(рис.3.13).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Зависимость контактного давления от относительного сжатия кольца: 1-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2-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 ,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ниже  -30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5pt;height:20.25pt" o:ole="">
                  <v:imagedata r:id="rId50" o:title=""/>
                </v:shape>
                <o:OLEObject Type="Embed" ProgID="Equation.3" ShapeID="_x0000_i1039" DrawAspect="Content" ObjectID="_1523186779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1.25pt;height:12.75pt" o:ole="">
            <v:imagedata r:id="rId45" o:title=""/>
          </v:shape>
          <o:OLEObject Type="Embed" ProgID="Equation.3" ShapeID="_x0000_i1040" DrawAspect="Content" ObjectID="_1523186780" r:id="rId5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5pt;height:40.5pt" o:ole="">
                  <v:imagedata r:id="rId53" o:title=""/>
                </v:shape>
                <o:OLEObject Type="Embed" ProgID="Equation.3" ShapeID="_x0000_i1041" DrawAspect="Content" ObjectID="_1523186781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.25pt;height:38.25pt" o:ole="">
                  <v:imagedata r:id="rId55" o:title=""/>
                </v:shape>
                <o:OLEObject Type="Embed" ProgID="Equation.3" ShapeID="_x0000_i1042" DrawAspect="Content" ObjectID="_1523186782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-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5.75pt;height:13.5pt" o:ole="">
                  <v:imagedata r:id="rId57" o:title=""/>
                </v:shape>
                <o:OLEObject Type="Embed" ProgID="Equation.3" ShapeID="_x0000_i1043" DrawAspect="Content" ObjectID="_1523186783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3pt;height:20.25pt" o:ole="">
                  <v:imagedata r:id="rId59" o:title=""/>
                </v:shape>
                <o:OLEObject Type="Embed" ProgID="Equation.3" ShapeID="_x0000_i1044" DrawAspect="Content" ObjectID="_1523186784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25pt;height:16.5pt" o:ole="">
                  <v:imagedata r:id="rId61" o:title=""/>
                </v:shape>
                <o:OLEObject Type="Embed" ProgID="Equation.3" ShapeID="_x0000_i1045" DrawAspect="Content" ObjectID="_1523186785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pt;height:16.5pt" o:ole="">
                  <v:imagedata r:id="rId63" o:title=""/>
                </v:shape>
                <o:OLEObject Type="Embed" ProgID="Equation.3" ShapeID="_x0000_i1046" DrawAspect="Content" ObjectID="_1523186786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pt;height:18pt" o:ole="">
                  <v:imagedata r:id="rId65" o:title=""/>
                </v:shape>
                <o:OLEObject Type="Embed" ProgID="Equation.3" ShapeID="_x0000_i1047" DrawAspect="Content" ObjectID="_1523186787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pt;height:18pt" o:ole="">
            <v:imagedata r:id="rId67" o:title=""/>
          </v:shape>
          <o:OLEObject Type="Embed" ProgID="Equation.3" ShapeID="_x0000_i1048" DrawAspect="Content" ObjectID="_1523186788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5pt;height:16.5pt" o:ole="">
            <v:imagedata r:id="rId69" o:title=""/>
          </v:shape>
          <o:OLEObject Type="Embed" ProgID="Equation.3" ShapeID="_x0000_i1049" DrawAspect="Content" ObjectID="_1523186789" r:id="rId70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75pt;height:20.25pt" o:ole="">
                  <v:imagedata r:id="rId71" o:title=""/>
                </v:shape>
                <o:OLEObject Type="Embed" ProgID="Equation.3" ShapeID="_x0000_i1050" DrawAspect="Content" ObjectID="_1523186790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4.25pt;height:38.25pt" o:ole="">
                  <v:imagedata r:id="rId73" o:title=""/>
                </v:shape>
                <o:OLEObject Type="Embed" ProgID="Equation.3" ShapeID="_x0000_i1051" DrawAspect="Content" ObjectID="_1523186791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pt;height:16.5pt" o:ole="">
            <v:imagedata r:id="rId75" o:title=""/>
          </v:shape>
          <o:OLEObject Type="Embed" ProgID="Equation.3" ShapeID="_x0000_i1052" DrawAspect="Content" ObjectID="_1523186792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0.75pt;height:18pt" o:ole="">
                  <v:imagedata r:id="rId77" o:title=""/>
                </v:shape>
                <o:OLEObject Type="Embed" ProgID="Equation.3" ShapeID="_x0000_i1053" DrawAspect="Content" ObjectID="_1523186793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60" w:dyaOrig="740">
                <v:shape id="_x0000_i1054" type="#_x0000_t75" style="width:1in;height:36.75pt" o:ole="">
                  <v:imagedata r:id="rId79" o:title=""/>
                </v:shape>
                <o:OLEObject Type="Embed" ProgID="Equation.3" ShapeID="_x0000_i1054" DrawAspect="Content" ObjectID="_1523186794" r:id="rId8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5" type="#_x0000_t75" style="width:30.75pt;height:23.25pt" o:ole="">
            <v:imagedata r:id="rId81" o:title=""/>
          </v:shape>
          <o:OLEObject Type="Embed" ProgID="Equation.3" ShapeID="_x0000_i1055" DrawAspect="Content" ObjectID="_1523186795" r:id="rId8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сил трения в гидроцилиндре.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6" type="#_x0000_t75" style="width:36.75pt;height:33.75pt" o:ole="">
                  <v:imagedata r:id="rId83" o:title=""/>
                </v:shape>
                <o:OLEObject Type="Embed" ProgID="Equation.3" ShapeID="_x0000_i1056" DrawAspect="Content" ObjectID="_1523186796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7" type="#_x0000_t75" style="width:65.25pt;height:17.25pt" o:ole="">
                  <v:imagedata r:id="rId85" o:title=""/>
                </v:shape>
                <o:OLEObject Type="Embed" ProgID="Equation.3" ShapeID="_x0000_i1057" DrawAspect="Content" ObjectID="_1523186797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8" type="#_x0000_t75" style="width:137.25pt;height:51pt" o:ole="">
                  <v:imagedata r:id="rId87" o:title=""/>
                </v:shape>
                <o:OLEObject Type="Embed" ProgID="Equation.3" ShapeID="_x0000_i1058" DrawAspect="Content" ObjectID="_1523186798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9" type="#_x0000_t75" style="width:88.5pt;height:53.25pt" o:ole="">
                  <v:imagedata r:id="rId89" o:title=""/>
                </v:shape>
                <o:OLEObject Type="Embed" ProgID="Equation.3" ShapeID="_x0000_i1059" DrawAspect="Content" ObjectID="_1523186799" r:id="rId90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60" type="#_x0000_t75" style="width:36.75pt;height:33.75pt" o:ole="">
                  <v:imagedata r:id="rId83" o:title=""/>
                </v:shape>
                <o:OLEObject Type="Embed" ProgID="Equation.3" ShapeID="_x0000_i1060" DrawAspect="Content" ObjectID="_1523186800" r:id="rId9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1" type="#_x0000_t75" style="width:43.5pt;height:33.75pt" o:ole="">
            <v:imagedata r:id="rId92" o:title=""/>
          </v:shape>
          <o:OLEObject Type="Embed" ProgID="Equation.3" ShapeID="_x0000_i1061" DrawAspect="Content" ObjectID="_1523186801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2" type="#_x0000_t75" style="width:40.5pt;height:13.5pt" o:ole="">
            <v:imagedata r:id="rId94" o:title=""/>
          </v:shape>
          <o:OLEObject Type="Embed" ProgID="Equation.3" ShapeID="_x0000_i1062" DrawAspect="Content" ObjectID="_1523186802" r:id="rId9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T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3" type="#_x0000_t75" style="width:44.25pt;height:36pt" o:ole="">
                  <v:imagedata r:id="rId96" o:title=""/>
                </v:shape>
                <o:OLEObject Type="Embed" ProgID="Equation.3" ShapeID="_x0000_i1063" DrawAspect="Content" ObjectID="_1523186803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4" type="#_x0000_t75" style="width:40.5pt;height:13.5pt" o:ole="">
                  <v:imagedata r:id="rId98" o:title=""/>
                </v:shape>
                <o:OLEObject Type="Embed" ProgID="Equation.3" ShapeID="_x0000_i1064" DrawAspect="Content" ObjectID="_1523186804" r:id="rId99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5" type="#_x0000_t75" style="width:16.5pt;height:18.75pt" o:ole="">
            <v:imagedata r:id="rId100" o:title=""/>
          </v:shape>
          <o:OLEObject Type="Embed" ProgID="Equation.3" ShapeID="_x0000_i1065" DrawAspect="Content" ObjectID="_1523186805" r:id="rId10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6" type="#_x0000_t75" style="width:116.25pt;height:18pt" o:ole="">
                  <v:imagedata r:id="rId102" o:title=""/>
                </v:shape>
                <o:OLEObject Type="Embed" ProgID="Equation.3" ShapeID="_x0000_i1066" DrawAspect="Content" ObjectID="_1523186806" r:id="rId103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7" type="#_x0000_t75" style="width:40.5pt;height:23.25pt" o:ole="">
            <v:imagedata r:id="rId104" o:title=""/>
          </v:shape>
          <o:OLEObject Type="Embed" ProgID="Equation.3" ShapeID="_x0000_i1067" DrawAspect="Content" ObjectID="_1523186807" r:id="rId105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8" type="#_x0000_t75" style="width:134.25pt;height:36.75pt" o:ole="">
                  <v:imagedata r:id="rId106" o:title=""/>
                </v:shape>
                <o:OLEObject Type="Embed" ProgID="Equation.3" ShapeID="_x0000_i1068" DrawAspect="Content" ObjectID="_1523186808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- это параметр,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оказывающий решающее влияние на важнейшие конструктивные,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технологические  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изделия  и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ряда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отечественные производители часто принимают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коффициент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9" type="#_x0000_t75" style="width:144.75pt;height:45.75pt" o:ole="">
                  <v:imagedata r:id="rId108" o:title=""/>
                </v:shape>
                <o:OLEObject Type="Embed" ProgID="Equation.3" ShapeID="_x0000_i1069" DrawAspect="Content" ObjectID="_1523186809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 путевых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,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70" type="#_x0000_t75" style="width:167.25pt;height:41.25pt" o:ole="">
                  <v:imagedata r:id="rId110" o:title=""/>
                </v:shape>
                <o:OLEObject Type="Embed" ProgID="Equation.3" ShapeID="_x0000_i1070" DrawAspect="Content" ObjectID="_1523186810" r:id="rId11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величиной 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Графики построены в относительных безразмерных единицах (%). За 100% приняты параметры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 на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). При 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proofErr w:type="spellStart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к.п.д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proofErr w:type="spellStart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величинойпримерно</w:t>
      </w:r>
      <w:proofErr w:type="spellEnd"/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1" type="#_x0000_t75" style="width:9.75pt;height:11.25pt" o:ole="">
            <v:imagedata r:id="rId113" o:title=""/>
          </v:shape>
          <o:OLEObject Type="Embed" ProgID="Equation.3" ShapeID="_x0000_i1071" DrawAspect="Content" ObjectID="_1523186811" r:id="rId114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Диаметры подводящих отверстий выбираются в зависимости от максимальной скорости поршня и максимальной скорости потока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лях машиностроения, 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 при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шток  необходимо  максимально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E7F81" w:rsidRDefault="007E7F81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кольца  или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распределение исходных величин выходных параметров гидроприводов, зависящих от большого количества случайных конструктивно-технологических факторов.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Модели стареющих распределений часто связывают с процессом постепенного изменения критичного параметра, определяющего надежность изделия. Таким параметром для гидроприводов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путевых, подъемно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-транспортных, строительных и дорожных машин является параметр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- 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При однородном качестве элементов (т. е. при пренебрежимо малом начальном рассеивании параметра </w:t>
      </w:r>
      <w:r w:rsidRPr="00663991">
        <w:rPr>
          <w:rFonts w:ascii="Times New Roman" w:hAnsi="Times New Roman" w:cs="Times New Roman"/>
          <w:sz w:val="28"/>
          <w:szCs w:val="28"/>
        </w:rPr>
        <w:t>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0), постоянной средней скорости накопления повреждений и сильном перемешивании (переплетении) реализации процесса накопления повреждений распределение времени до отказа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нормальным [1 ]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(см.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) Этот случай имеет место, когда скорость накопления повреждений определяется в основном существенно переменными внешними условиями, т. е. когда вариации </w:t>
      </w:r>
      <w:r w:rsidRPr="00663991">
        <w:rPr>
          <w:rFonts w:ascii="Times New Roman" w:hAnsi="Times New Roman" w:cs="Times New Roman"/>
          <w:sz w:val="28"/>
          <w:szCs w:val="28"/>
        </w:rPr>
        <w:t>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обусловлены только случайностью протекания процесса накопления повреждений. Такая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модель во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многих случаях оказывается приемлемой для высоконадежных изделий с медленным процессом накопления повреждений, и, в частности, для гидроприводов.</w:t>
      </w:r>
    </w:p>
    <w:p w:rsidR="009D27DE" w:rsidRPr="00663991" w:rsidRDefault="009D27DE" w:rsidP="00836E6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52085" cy="2772410"/>
            <wp:effectExtent l="0" t="0" r="5715" b="8890"/>
            <wp:docPr id="15" name="Picture 15" descr="накопление поврежд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накопление повреждений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81" w:rsidRPr="00836E6F" w:rsidRDefault="007E7F81" w:rsidP="007E7F81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22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836E6F" w:rsidRPr="00836E6F">
        <w:rPr>
          <w:rFonts w:ascii="Times New Roman" w:hAnsi="Times New Roman" w:cs="Times New Roman"/>
          <w:iCs/>
          <w:sz w:val="28"/>
          <w:szCs w:val="28"/>
          <w:lang w:val="ru-RU"/>
        </w:rPr>
        <w:t>Модель накопления повреждений в гидроприводах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Потеря работоспособности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может происходить как вследствие выхода какого-либо параметра за пределы допускаемых величин, так и вследствие нарушения функционирования изделия или его элементов (разрушение элементов конструкции, заклинивание золотника или поршня, обрыв электрических цепей и т. д.).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Таким образом все отказы по степени нарушения работоспособности гидропривода можно также разделить на полные (функциональные) и частичные (параметрические)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полных отказах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теряется способность гидропривода к выполнению одной из основных функций. При частичных отказах сохраняется способность к выполнению основных функций, однако либо снижается эффективность выполнения этих функций, либо возможно развитие этих отказов до полных. Для гидроприводов, влияющих на безопасность людей и окружающей среды, в частности дорожных и строительных машин, отказы делят на опасные и безопасные. Обычно опасным отказам соответствуют некоторые из видов отказов, входящие в понятие «полный отказ».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Изменения параметров гидроприводов в процессе эксплуатации состоят из обратимых и необратимых изменений. Обратимые изменения возникают при действии внешних факторов и исчезают после прекращения их действия. Необратимые изменения, связанные с накоплением повреждений в конструктивных элементах гидроприводов, сохраняются и после прекращения действия внешних факторов.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параметрическим отказам могут приводить лишь необратимые изменения, связанные с постепенным износом, старением и некоторыми другими «постепенными» механизмами отказов. Примерами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таких отказов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для гидроприводов с электрическим управлением могут служить: изменения скорости выходного звена из-за ухудшения характеристик электромеханического преобразователя вследствие старения магнитов или из-за частичного засорения входного фильтра или дросселя гидроусилителя; увеличение смещения нуля из-за частичного засорения одного из дросселей или сопл гидроусилителя и т. д.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следящих гидроприводов с ручным управлением к постепенным параметрическим отказам относятся: увеличение «проседания» выходного звена под нагрузкой и ухудшение динамических свойств из-за износа золотниковой пары и увеличения люфтов вследствие износа соединений кинематических или силовых механических элементов. Внешнюю </w:t>
      </w:r>
      <w:r w:rsidR="00BF59A7" w:rsidRPr="00663991">
        <w:rPr>
          <w:rFonts w:ascii="Times New Roman" w:hAnsi="Times New Roman" w:cs="Times New Roman"/>
          <w:sz w:val="28"/>
          <w:szCs w:val="28"/>
          <w:lang w:val="ru-RU"/>
        </w:rPr>
        <w:t>не герметичность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 гидропривода также можно отнести к постепенным параметрическим отказам, поскольку величина утечек по выходному звену обычно регламентирована количественно (непосредственно, в см3 за определенное время работы, или косвенно, через заданную группу герметичности по нормативно-технической документации).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 внезапным параметрическим отказам могут приводить как обратимые изменения, так и быстрые необратимые. К внезапным параметрическим отказам приводит скачкообразное накопление необратимых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изменений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например, мгновенное частичное засорение дросселя или сопла электрогидравлического усилителя, приводящее к внезапному смещению нуля гидропривода с электрическим управлением). Обратимые изменения, приводящие к внезапным параметрическим отказам, связаны с внешними воздействиями и их взаимным сочетанием.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 постепенным функциональным отказам приводят необратимые изменения, связанные с накоплением усталостных повреждений в силовых конструктивных элементах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гидроприводов [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11, 65, 73, 93]. Известно, что в процессе накопления усталостных повреждений изменяются механические параметры конструктивных элементов - уменьшается их жесткость и увеличивается демпфирование.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испытаний. Отказы типа усталостных разрушений   поэтому можно отнести к постепенным функциональным отказам [92].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Внезапные функциональные отказы могут быть связаны со статическим разрушением силовых элементов из-за появления нерасчетной нагрузки, с разрушением дефектных элементов, с внезапным заклиниванием золотников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F05B1A" w:rsidRPr="00663991">
        <w:rPr>
          <w:rFonts w:ascii="Times New Roman" w:hAnsi="Times New Roman" w:cs="Times New Roman"/>
          <w:sz w:val="28"/>
          <w:szCs w:val="28"/>
          <w:lang w:val="ru-RU"/>
        </w:rPr>
        <w:t>стабильности внезапные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отказы можно разделить на устойчивые и перемежающиеся.  Перемежающиеся отказы («сбои») являются нестабильными и после возникновения отказа при одних и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тех же условиях,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воздействующих сигналах могут исчезать, а затем возникать вновь.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Устойчивые отказы после их возникновения не исчезают самопроизвольно при неизменных условиях окружающей среды. Следует отметить, однако, что устойчивые отказы из-за внешних воздействий могут исчезать при прекращении их действия, но при повторном действии эти отказы вновь появляются. Необходимо также подчеркнуть, что постепенные отказы в большинстве случаев являются устойчивыми.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Перемежающиеся отказы наиболее сложны для анализа. К таким отказам относят: увеличение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золотника, нестабильное срабатывание электрогидравлических клапанов или концевых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микровыключателей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т. д. По отношению к таким отказам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неподтверждение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отказа при стендовых проверках на заводе—изготовителе агрегата не может считаться достоверным доказательством отсутствия такого отказа в эксплуатации.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Отказы гидроприводов можно разделить на контролируемые и неконтролируемые [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]. Особенно важно это деление для резервированных агрегатов.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объекта. Неконтролируемые отказы не могут быть выявлены без снятия агрегата с объекта и его частичной разборки. Следует отметить, что неконтролируемые отказы могут быть в ряде случаев выявлены при одновременном возникновении других отказов агрегата.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Постепенные отказы можно дополнительно разделить на прогнозируемые и непрогнозируемые.  Прогнозируемые отказы — это постепенные отказы, для которых возможно с помощью диагностики аппарата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эксплуатации прогнозирование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приближения момента отказа. Для непрогнозируемых отказов установить экспериментально приближение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момента отказа невозможно. Следует отметить,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отказа.  Примером прогнозируемых отказов может служить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по уплотнению выходного звена, а непрогнозируемых-усталостное разрушение силовых элементов.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Общая классификация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отказов гидроприводов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мобильных машин приведена на рис. 1.9 [11].  В результате анализа отказов гидроприводов разных типов в эксплуатации выявлено, что свыше 90% всех отказов составляют частичные и лишь около 10%—полные отказы. [11, 73, 94].  Около 60% отказов гидроприводов являются параметрическими, 40%—функциональными. К параметрическим отказам отнесена внешняя или внутренняя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негерметичность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(кроме случаев «струйных» утечек, которые отнесены к функциональным отказам), а к функциональным -  динамически неустойчивая работа и повреждение механических элементов. Физический и статистический анализ отказов показал, что относительные доли внезапных и постепенных отказов для гидроприводов примерно равны и составляют около 50%.</w:t>
      </w:r>
    </w:p>
    <w:p w:rsidR="009D27DE" w:rsidRPr="00663991" w:rsidRDefault="009D27DE" w:rsidP="006639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качественного анализа отказов гидроприводов и их причин удобно представить для наглядности в виде схемы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(дерева отказов), приведенной на рис. 1.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. [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11 ]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7216" behindDoc="0" locked="0" layoutInCell="0" allowOverlap="1" wp14:anchorId="4CB36556" wp14:editId="19436072">
            <wp:simplePos x="0" y="0"/>
            <wp:positionH relativeFrom="column">
              <wp:posOffset>664210</wp:posOffset>
            </wp:positionH>
            <wp:positionV relativeFrom="paragraph">
              <wp:posOffset>327660</wp:posOffset>
            </wp:positionV>
            <wp:extent cx="5149850" cy="5636895"/>
            <wp:effectExtent l="0" t="0" r="0" b="1905"/>
            <wp:wrapTopAndBottom/>
            <wp:docPr id="11" name="Picture 11" descr="11r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ris"/>
                    <pic:cNvPicPr preferRelativeResize="0">
                      <a:picLocks noChangeArrowheads="1"/>
                    </pic:cNvPicPr>
                  </pic:nvPicPr>
                  <pic:blipFill>
                    <a:blip r:embed="rId116" cstate="print">
                      <a:lum contrast="100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63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6E6F" w:rsidRPr="00836E6F" w:rsidRDefault="00836E6F" w:rsidP="00836E6F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23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хемы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этой схеме первые ответвления («ветви-сыновья») характеризуют элементы гидроприводов («слабые звенья»), дефекты которых обусловливают возникновение отказов гидроприводов, а вторые ответвления («ветки-внуки») характеризуют виды (характер) отказов гидроприводов. Схема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Исикава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облегчает систематизацию отказов и их причин и разработку мероприятий по обеспечению высокой надежности изделий.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неисправности в работе поршневых и золотниковых пар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применяемых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в дорожных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можно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разделить условно на две группы: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а) неисправности, вызванные повышением трения в паре; б) неисправности, связанные с износом деталей и как следствие с изменением линейных размеров и форм.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имеет внезапный характер и приводит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к зависанию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заклиниванию подвижного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элемента </w:t>
      </w:r>
      <w:proofErr w:type="spellStart"/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корпусе или гильзе и влечет за собой запаздывание в срабатывании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или отказ гидропривода в целом.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следящем приводе, находящим все более широкое применение в дорожных и строительных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машинах, путевых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машинах, (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например,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приводах подъемно-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типа ВПР, ВПРС – см. рис. 1.1)   нарушение работы, связанное с резким ростом трения, ведет к отказу системы управления. Повышение трения нарушает режим слежения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за золотником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приводит к рывкам и «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дерганью»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рабочем органе. Зависание подвижных элементов предохранительных и редукционных клапанов приводит к забросам давления в системе и может вызвать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разгерметизацию (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обрыв шланга, трещины в корпусе насоса и т.д.).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Повышение трения в паре поршень-цилиндр аксиально-поршневых насосов может привести к кратковременному зависанию поршня и тем самым к росту пульсаций давления, которая в свою очередь создает предпосылки к отказам в работе контрольно-распределительных аппаратов.  Также зависание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приводит к увеличению силы удара в парах поршень-толкатель и толкатель-шайба, что ведет к разрушению соответствующих поверхностей. 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Сильное заклинивание вообще может вызвать внезапный отказ насоса с поломкой толкателей или (и)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разрушением качающего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узла.  Как следует из сказанного, повышение трения вызывает внезапные отказы, что может создать опасные ситуации на дорожных и строительных машинах, а также всегда приводит к значительным экономическим потерям.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Износ деталей золотниковых и поршневых пар приводит к нарушению их внутренней герметичности и соответственно падению объемного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к.п.д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. агрегатов и привода в целом вследствие увеличенного расхода через зазоры.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контрольно-распределительных аппаратах рост утечек происходит вследствие местного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износа кромок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рабочих поясков золотника и окон гильзы (корпуса).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Повышенные утечки ведут к замедлению работы всего механизма в целом, т.е. к увеличению цикла и экономическим потерям.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Увеличение зазоров в клапанах приводит к изменению значений регулируемого давления. Утечки вызывают также повышенный нагрев рабочей жидкости (вследствие эффекта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дросселирования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 системах с насосом, имеющим автомат мощности, повышенные утечки вызывают неправильную (по сравнению с расчетной) работу автомата.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Неисправности, вызванные ростом утечек, сравнительно легко диагностируются и могут быть совершенно прекращены.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Самой распространенной причиной роста трения является схватывание, представляющее собой образование металлических связей между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сопряженными деталями. Для их разрушения необходимы тангенциальные усилия для преодоления сопротивления срезу материала. Разрушение металлических связей сопровождается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вырывом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металла.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парах, у которых одна деталь стальная, а вторая бронзовая, перенос бронзы может происходить в виде отдельных частиц или тонкого слоя меди (характерно для аксиально-поршневых насосов). Так как медь в бронзе находится в твердом растворе, то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И.В.Крагельским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было сделано предположение об атомарном характере процесса. Схватывание в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крайне недопустимым, т.к. ведет в лучшем случае к ускоренному износу сопряжений.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После разрушения металлических связей прецизионная пара некоторое время работает нормально, а затем явление схватывания может повторяться, что затрудняет выявление таких отказов в эксплуатационных условиях.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Разновидностью схватывания является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микросхватывание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т.е. процесс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вырыва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переноса микрочастиц локализуется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на участках,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измеряемых десятками микрон.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схватывание происходит на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макроучастках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, и тогда наступает заклинивание подвижного элемента, который невозможно извлечь без значительных усилий и повреждений, т.е. имеет место отказ привода.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Второй возможной причиной повышения трения   является изменение их размеров вследствие неравномерных температурных расширений. Это может происходить вследствие того, что отвод тепла от гильзы, запрессованной в корпус, значительно лучше, чем от золотника.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Ориентировочно изменение зазора в прецизионной паре можно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рассчитать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как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68323C" w:rsidRPr="00663991" w:rsidTr="00836E6F">
        <w:tc>
          <w:tcPr>
            <w:tcW w:w="8784" w:type="dxa"/>
          </w:tcPr>
          <w:p w:rsidR="0068323C" w:rsidRPr="00663991" w:rsidRDefault="0068323C" w:rsidP="0068323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ΔS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–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68323C" w:rsidRPr="00663991" w:rsidRDefault="0068323C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D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размер золотника</w:t>
      </w:r>
    </w:p>
    <w:p w:rsidR="009D27DE" w:rsidRPr="00663991" w:rsidRDefault="0068323C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температуры золотника и гильзы соответственно,</w:t>
      </w:r>
    </w:p>
    <w:p w:rsidR="0068323C" w:rsidRDefault="009D27DE" w:rsidP="00836E6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 сравнению с расчет</w:t>
      </w:r>
      <w:r w:rsidR="00836E6F">
        <w:rPr>
          <w:rFonts w:ascii="Times New Roman" w:hAnsi="Times New Roman" w:cs="Times New Roman"/>
          <w:sz w:val="28"/>
          <w:szCs w:val="28"/>
          <w:lang w:val="ru-RU"/>
        </w:rPr>
        <w:t xml:space="preserve">ной (обычно 200С), при которой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устанавливается величина </w:t>
      </w:r>
      <w:r w:rsidR="0068323C">
        <w:rPr>
          <w:rFonts w:ascii="Times New Roman" w:hAnsi="Times New Roman" w:cs="Times New Roman"/>
          <w:sz w:val="28"/>
          <w:szCs w:val="28"/>
          <w:lang w:val="ru-RU"/>
        </w:rPr>
        <w:t>зазора согласно техдокументации</w:t>
      </w:r>
    </w:p>
    <w:p w:rsidR="009D27DE" w:rsidRPr="00663991" w:rsidRDefault="00337303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– температурные коэффициенты линейного расширения материала</w:t>
      </w:r>
    </w:p>
    <w:p w:rsidR="009D27DE" w:rsidRPr="00663991" w:rsidRDefault="009D27DE" w:rsidP="00836E6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и гильзы (17</w:t>
      </w:r>
      <w:r w:rsidR="0068323C" w:rsidRPr="0068323C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19), для сталей (11</w:t>
      </w:r>
      <w:r w:rsidR="0068323C" w:rsidRPr="004A318D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12).</w:t>
      </w:r>
    </w:p>
    <w:p w:rsidR="009D27DE" w:rsidRPr="00663991" w:rsidRDefault="004A318D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литературе,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 практике эксплуатации 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имели место заклинивания прецизионных пар из-за изменения размеров деталей в связи со структурными превращениями в материале – перехода остаточного аустенита в мартенсит – с соответствующим увеличением объема.</w:t>
      </w:r>
    </w:p>
    <w:p w:rsidR="009D27DE" w:rsidRPr="000440B8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Иногда заедание происходит вследствие недостаточной жесткости прецизионной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пары. Под действием высоких давлений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происходить упругая деформация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В золотниковых парах распределителей, на золотник которых не действует осевые пружины давления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, схватывания не наблюдается. Тем не менее, повышенное трение имеет место из-за прижатия золотника к гильзе (проточки в корпусе) неуравновешенной гидростатической силой, а также облитерации (заращивание зазора поляризованными молекулами рабочей жидкости и находящимися в ней частицами).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отдельных случаях повышение трения ведет к такому росту усилия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страгивания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, которое сопоставимо с заклиниванием золотника. Так, например, для распределителя Р-203 с ручным управлением нормальное усилие составляет около 1 Н (0,1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), а в практике имели место случаи, когда после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длительного пребывания в покое для сдвижки </w:t>
      </w: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золотника  потребовались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разборка 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распрессовка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 усилием более 500 Н (50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кГс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D27DE" w:rsidRPr="00663991" w:rsidRDefault="009D27DE" w:rsidP="00EA2BB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Неуравновешенная гидростатическая радиальная сила обусловлена неравномерным давлением жидкости в кольцевом зазоре золотниковых пар. При истечении жидкости из полости с высоким давлением в полость с меньшим давлением,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давление вдоль зазора изменяется по за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кону, определенному формой щели</w:t>
      </w:r>
      <w:r w:rsidR="00EA2BB1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перекосе золотника относительно оси проточки (гильзы), а также вследствие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неправильной геометрии (конусности, которая всегда имеет место в большей или меньшей степени) давление вокруг золотника будет несимметрично, в результате чего и возникает гидростатическая сила.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 поясок имеющий конусность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или при эксцентричном положении строго цилиндрического пояска на него действует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сила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7"/>
        <w:gridCol w:w="893"/>
      </w:tblGrid>
      <w:tr w:rsidR="00EA2BB1" w:rsidRPr="00663991" w:rsidTr="00C10010">
        <w:tc>
          <w:tcPr>
            <w:tcW w:w="8784" w:type="dxa"/>
          </w:tcPr>
          <w:p w:rsidR="00EA2BB1" w:rsidRPr="00663991" w:rsidRDefault="00EA2BB1" w:rsidP="00EA2BB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lh∆P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2e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2S+h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(2S+h)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-4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oMath>
            </m:oMathPara>
          </w:p>
        </w:tc>
        <w:tc>
          <w:tcPr>
            <w:tcW w:w="566" w:type="dxa"/>
          </w:tcPr>
          <w:p w:rsidR="00EA2BB1" w:rsidRPr="00663991" w:rsidRDefault="00EA2BB1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="00C10010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где:</w:t>
      </w:r>
      <w:r w:rsidR="00C1001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63991">
        <w:rPr>
          <w:rFonts w:ascii="Times New Roman" w:hAnsi="Times New Roman" w:cs="Times New Roman"/>
          <w:sz w:val="28"/>
          <w:szCs w:val="28"/>
        </w:rPr>
        <w:t>l</w:t>
      </w:r>
      <w:r w:rsidR="00C10010" w:rsidRPr="00C100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длина пояска (длина зазора);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r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радиус пояска;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</w:rPr>
        <w:t>h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proofErr w:type="gram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радиуса по длине (что определяет величину конусности);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ΔP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="00C10010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перепад давления на зазоре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e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смещение оси золотника относительно гильзы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</w:rPr>
        <w:t>S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010" w:rsidRPr="00C10010">
        <w:rPr>
          <w:rFonts w:ascii="Arial" w:hAnsi="Arial" w:cs="Arial"/>
          <w:color w:val="252525"/>
          <w:sz w:val="18"/>
          <w:szCs w:val="18"/>
          <w:shd w:val="clear" w:color="auto" w:fill="F9F9F9"/>
          <w:lang w:val="ru-RU"/>
        </w:rPr>
        <w:t>—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номинальный радиальный зазор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Наличие твердых частиц в зазоре прецизионных пар усиливает облитерацию. Кроме того, твердые частицы, будучи по размерам сопоставимы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с величиной зазора, оказывают механическое (расклинивающее) воздействие на детали.</w:t>
      </w:r>
    </w:p>
    <w:p w:rsidR="009D27DE" w:rsidRPr="000440B8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C100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</w:t>
      </w:r>
      <w:bookmarkStart w:id="0" w:name="_GoBack"/>
      <w:bookmarkEnd w:id="0"/>
      <w:r w:rsidRPr="00663991">
        <w:rPr>
          <w:rFonts w:ascii="Times New Roman" w:hAnsi="Times New Roman" w:cs="Times New Roman"/>
          <w:sz w:val="28"/>
          <w:szCs w:val="28"/>
          <w:lang w:val="ru-RU"/>
        </w:rPr>
        <w:t>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440B8" w:rsidRPr="00663991" w:rsidRDefault="000440B8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Надежность гидроприводов строительных, путевых и подъемно-транспортных машин</w:t>
      </w:r>
    </w:p>
    <w:sectPr w:rsidR="000440B8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.75pt;height:1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7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9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0"/>
  </w:num>
  <w:num w:numId="2">
    <w:abstractNumId w:val="19"/>
  </w:num>
  <w:num w:numId="3">
    <w:abstractNumId w:val="8"/>
  </w:num>
  <w:num w:numId="4">
    <w:abstractNumId w:val="23"/>
  </w:num>
  <w:num w:numId="5">
    <w:abstractNumId w:val="33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0"/>
  </w:num>
  <w:num w:numId="12">
    <w:abstractNumId w:val="6"/>
  </w:num>
  <w:num w:numId="13">
    <w:abstractNumId w:val="32"/>
  </w:num>
  <w:num w:numId="14">
    <w:abstractNumId w:val="9"/>
  </w:num>
  <w:num w:numId="15">
    <w:abstractNumId w:val="25"/>
  </w:num>
  <w:num w:numId="16">
    <w:abstractNumId w:val="12"/>
  </w:num>
  <w:num w:numId="17">
    <w:abstractNumId w:val="41"/>
  </w:num>
  <w:num w:numId="18">
    <w:abstractNumId w:val="38"/>
  </w:num>
  <w:num w:numId="19">
    <w:abstractNumId w:val="29"/>
  </w:num>
  <w:num w:numId="20">
    <w:abstractNumId w:val="15"/>
  </w:num>
  <w:num w:numId="21">
    <w:abstractNumId w:val="22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1"/>
  </w:num>
  <w:num w:numId="25">
    <w:abstractNumId w:val="24"/>
  </w:num>
  <w:num w:numId="26">
    <w:abstractNumId w:val="34"/>
  </w:num>
  <w:num w:numId="27">
    <w:abstractNumId w:val="43"/>
  </w:num>
  <w:num w:numId="28">
    <w:abstractNumId w:val="7"/>
  </w:num>
  <w:num w:numId="29">
    <w:abstractNumId w:val="3"/>
  </w:num>
  <w:num w:numId="30">
    <w:abstractNumId w:val="11"/>
  </w:num>
  <w:num w:numId="31">
    <w:abstractNumId w:val="20"/>
  </w:num>
  <w:num w:numId="32">
    <w:abstractNumId w:val="18"/>
  </w:num>
  <w:num w:numId="33">
    <w:abstractNumId w:val="42"/>
  </w:num>
  <w:num w:numId="34">
    <w:abstractNumId w:val="28"/>
  </w:num>
  <w:num w:numId="35">
    <w:abstractNumId w:val="16"/>
  </w:num>
  <w:num w:numId="36">
    <w:abstractNumId w:val="27"/>
  </w:num>
  <w:num w:numId="37">
    <w:abstractNumId w:val="2"/>
  </w:num>
  <w:num w:numId="38">
    <w:abstractNumId w:val="21"/>
  </w:num>
  <w:num w:numId="39">
    <w:abstractNumId w:val="36"/>
  </w:num>
  <w:num w:numId="40">
    <w:abstractNumId w:val="39"/>
  </w:num>
  <w:num w:numId="41">
    <w:abstractNumId w:val="4"/>
  </w:num>
  <w:num w:numId="42">
    <w:abstractNumId w:val="17"/>
  </w:num>
  <w:num w:numId="43">
    <w:abstractNumId w:val="14"/>
  </w:num>
  <w:num w:numId="44">
    <w:abstractNumId w:val="5"/>
  </w:num>
  <w:num w:numId="45">
    <w:abstractNumId w:val="26"/>
  </w:num>
  <w:num w:numId="46">
    <w:abstractNumId w:val="37"/>
  </w:num>
  <w:num w:numId="4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D78DF"/>
    <w:rsid w:val="000F407A"/>
    <w:rsid w:val="00100F4D"/>
    <w:rsid w:val="00101745"/>
    <w:rsid w:val="00106A32"/>
    <w:rsid w:val="001203E1"/>
    <w:rsid w:val="00154C0A"/>
    <w:rsid w:val="00157499"/>
    <w:rsid w:val="001933BD"/>
    <w:rsid w:val="00196731"/>
    <w:rsid w:val="001B7928"/>
    <w:rsid w:val="001D006B"/>
    <w:rsid w:val="001E0DF1"/>
    <w:rsid w:val="00253B56"/>
    <w:rsid w:val="00260651"/>
    <w:rsid w:val="00277E7C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E4AB1"/>
    <w:rsid w:val="004E7A5A"/>
    <w:rsid w:val="00515E53"/>
    <w:rsid w:val="00516645"/>
    <w:rsid w:val="00521F90"/>
    <w:rsid w:val="00521FA9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36378"/>
    <w:rsid w:val="00F438F7"/>
    <w:rsid w:val="00F50815"/>
    <w:rsid w:val="00F67D0F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0444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fontTable" Target="fontTable.xml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image" Target="media/image52.wmf"/><Relationship Id="rId112" Type="http://schemas.openxmlformats.org/officeDocument/2006/relationships/image" Target="media/image63.png"/><Relationship Id="rId16" Type="http://schemas.openxmlformats.org/officeDocument/2006/relationships/image" Target="media/image11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wmf"/><Relationship Id="rId115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image" Target="media/image64.wmf"/><Relationship Id="rId118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116" Type="http://schemas.openxmlformats.org/officeDocument/2006/relationships/image" Target="media/image66.png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oleObject" Target="embeddings/oleObject46.bin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Relationship Id="rId2" Type="http://schemas.openxmlformats.org/officeDocument/2006/relationships/numbering" Target="numbering.xml"/><Relationship Id="rId29" Type="http://schemas.openxmlformats.org/officeDocument/2006/relationships/image" Target="media/image20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CEBE7-3AB5-4098-BFD7-5D0C06238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50</Pages>
  <Words>8516</Words>
  <Characters>48546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82</cp:revision>
  <dcterms:created xsi:type="dcterms:W3CDTF">2016-01-30T23:04:00Z</dcterms:created>
  <dcterms:modified xsi:type="dcterms:W3CDTF">2016-04-26T11:38:00Z</dcterms:modified>
</cp:coreProperties>
</file>