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044254" w:rsidP="000442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44254">
        <w:rPr>
          <w:rFonts w:ascii="Times New Roman" w:hAnsi="Times New Roman" w:cs="Times New Roman"/>
          <w:b/>
          <w:sz w:val="28"/>
          <w:lang w:val="ru-RU"/>
        </w:rPr>
        <w:t>3</w:t>
      </w:r>
      <w:r w:rsidR="00AD04BC" w:rsidRPr="00B408B1">
        <w:rPr>
          <w:rFonts w:ascii="Times New Roman" w:hAnsi="Times New Roman" w:cs="Times New Roman"/>
          <w:b/>
          <w:sz w:val="28"/>
          <w:lang w:val="ru-RU"/>
        </w:rPr>
        <w:t xml:space="preserve">. </w:t>
      </w:r>
      <w:r w:rsidRPr="00044254">
        <w:rPr>
          <w:rFonts w:ascii="Times New Roman" w:hAnsi="Times New Roman" w:cs="Times New Roman"/>
          <w:b/>
          <w:sz w:val="28"/>
          <w:lang w:val="ru-RU"/>
        </w:rPr>
        <w:t>Сравнение полученных результатов с результатами современных расчетных программных комплексов.</w:t>
      </w: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2.1 </w:t>
      </w:r>
      <w:r>
        <w:rPr>
          <w:rFonts w:ascii="Times New Roman" w:hAnsi="Times New Roman" w:cs="Times New Roman"/>
          <w:sz w:val="28"/>
          <w:lang w:val="ru-RU"/>
        </w:rPr>
        <w:t>Метод конечных элементов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Суть метода следует из его названия. Область, в которой ищется решение дифференциальных уравнений, разбивается на конечное количество подобластей (элементов). В каждом из элементов произвольно выбирается вид аппроксимирующей функции. В простейшем случае это полином первой степени. Вне своего элемента аппроксимирующая функция равна нулю. Значения функций на границах элементов (в узлах) являются решением задачи и заранее неизвестны. Коэффициенты аппроксимирующих функций обычно ищутся из условия равенства значения соседних функций на границах между элементами (в узлах). Затем эти коэффициенты выражаются через значения функций в узлах элементов. Составляется система линейных алгебраических уравнений. Количество уравнений равно количеству неизвестных значений в узлах, на которых ищется решение исходной системы, прямо пропорционально количеству элементов и ограничивается только возможностями ЭВМ. Так как каждый из элементов связан с ограниченным количеством соседних, система линейных алгебраических уравнений имеет разрежённый вид, что существенно упрощает её решение.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 xml:space="preserve">Если говорить в матричных терминах, то собираются так называемые матрицы жёсткости (или матрица Дирихле) и масс. Далее на эти матрицы накладываются граничные условия (например, при условиях Неймана в матрицах не меняется ничего, а при условиях Дирихле из матриц вычёркиваются строки и столбцы, соответствующие граничным узлам, так как в силу краевых условий значение соответствующих компонент решения </w:t>
      </w:r>
      <w:r w:rsidRPr="003E3157">
        <w:rPr>
          <w:rFonts w:ascii="Times New Roman" w:hAnsi="Times New Roman" w:cs="Times New Roman"/>
          <w:sz w:val="28"/>
          <w:lang w:val="ru-RU"/>
        </w:rPr>
        <w:lastRenderedPageBreak/>
        <w:t>известно). Затем собирается система линейных уравнений и решается одним из известных методов.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Матрица жёсткости (матрица Дирихле) — матрица особого вида, использующаяся в методе конечных элементов для решения дифференциальных уравнений в частных производных. Она применяется при решениях задач электродинамики и механики.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 xml:space="preserve">Обычно матрица жёсткости получается разреженной, то есть содержащая большое количество нулей. Для </w:t>
      </w:r>
      <w:bookmarkStart w:id="0" w:name="_GoBack"/>
      <w:bookmarkEnd w:id="0"/>
      <w:r w:rsidRPr="003E3157">
        <w:rPr>
          <w:rFonts w:ascii="Times New Roman" w:hAnsi="Times New Roman" w:cs="Times New Roman"/>
          <w:sz w:val="28"/>
          <w:lang w:val="ru-RU"/>
        </w:rPr>
        <w:t xml:space="preserve">работы с подобным типом матриц созданы специальные библиотеки (mtl4, </w:t>
      </w:r>
      <w:proofErr w:type="spellStart"/>
      <w:r w:rsidRPr="003E3157">
        <w:rPr>
          <w:rFonts w:ascii="Times New Roman" w:hAnsi="Times New Roman" w:cs="Times New Roman"/>
          <w:sz w:val="28"/>
          <w:lang w:val="ru-RU"/>
        </w:rPr>
        <w:t>SparseLib</w:t>
      </w:r>
      <w:proofErr w:type="spellEnd"/>
      <w:r w:rsidRPr="003E3157">
        <w:rPr>
          <w:rFonts w:ascii="Times New Roman" w:hAnsi="Times New Roman" w:cs="Times New Roman"/>
          <w:sz w:val="28"/>
          <w:lang w:val="ru-RU"/>
        </w:rPr>
        <w:t>++, SPARSPAK и другие)</w:t>
      </w: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P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Определение</w:t>
      </w: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E3157">
        <w:rPr>
          <w:rFonts w:ascii="Times New Roman" w:hAnsi="Times New Roman" w:cs="Times New Roman"/>
          <w:sz w:val="28"/>
          <w:lang w:val="ru-RU"/>
        </w:rPr>
        <w:t>Элементы матрицы жёсткости в общем случае равны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3637F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3E3157" w:rsidRDefault="00F666F0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Например, если дано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hyperlink r:id="rId6" w:tooltip="w:Уравнение Пуассона" w:history="1">
        <w:r w:rsidRPr="00E25E5A">
          <w:rPr>
            <w:rFonts w:ascii="Times New Roman" w:hAnsi="Times New Roman" w:cs="Times New Roman"/>
            <w:sz w:val="28"/>
            <w:lang w:val="ru-RU"/>
          </w:rPr>
          <w:t>уравнение Пуассона</w:t>
        </w:r>
      </w:hyperlink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E25E5A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C0B91EF" wp14:editId="72EA6B11">
                  <wp:extent cx="828675" cy="209550"/>
                  <wp:effectExtent l="0" t="0" r="9525" b="0"/>
                  <wp:docPr id="38" name="Picture 38" descr=" -\nabla^2 u = 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 -\nabla^2 u = 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в пространстве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33350" cy="133350"/>
            <wp:effectExtent l="0" t="0" r="0" b="0"/>
            <wp:docPr id="39" name="Picture 39" descr="\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Omeg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 xml:space="preserve">и граничные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условния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— это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495300" cy="133350"/>
            <wp:effectExtent l="0" t="0" r="0" b="0"/>
            <wp:docPr id="40" name="Picture 40" descr="u = 0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u = 0 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Представим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функцию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как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ряд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E25E5A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6FE88830" wp14:editId="46BD8675">
                  <wp:extent cx="2305050" cy="209550"/>
                  <wp:effectExtent l="0" t="0" r="0" b="0"/>
                  <wp:docPr id="41" name="Picture 41" descr=" u \approx u^h = u_1\varphi_1+\cdots+u_n\varphi_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 u \approx u^h = u_1\varphi_1+\cdots+u_n\varphi_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52400" cy="114300"/>
            <wp:effectExtent l="0" t="0" r="0" b="0"/>
            <wp:docPr id="42" name="Picture 42" descr="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u_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— это известные значения функции в узлах, а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23825" cy="123825"/>
            <wp:effectExtent l="0" t="0" r="9525" b="9525"/>
            <wp:docPr id="43" name="Picture 43" descr="\varp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\varph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— некие базисные функции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то</w:t>
      </w:r>
      <w:proofErr w:type="spellEnd"/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E25E5A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7E567B3" wp14:editId="46C813E5">
                  <wp:extent cx="2247900" cy="390525"/>
                  <wp:effectExtent l="0" t="0" r="0" b="9525"/>
                  <wp:docPr id="44" name="Picture 44" descr=" A^{[k]}_{ij} = \int_{triangle}\nabla\varphi_i\cdot\nabla\varphi_j\, dx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 A^{[k]}_{ij} = \int_{triangle}\nabla\varphi_i\cdot\nabla\varphi_j\, dx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Создание матрицы[</w:t>
      </w:r>
      <w:hyperlink r:id="rId14" w:tooltip="Редактировать раздел «Создание матрицы»" w:history="1">
        <w:r w:rsidRPr="00E25E5A">
          <w:rPr>
            <w:rFonts w:ascii="Times New Roman" w:hAnsi="Times New Roman" w:cs="Times New Roman"/>
            <w:sz w:val="28"/>
            <w:lang w:val="ru-RU"/>
          </w:rPr>
          <w:t>править</w:t>
        </w:r>
      </w:hyperlink>
      <w:r w:rsidRPr="00E25E5A">
        <w:rPr>
          <w:rFonts w:ascii="Times New Roman" w:hAnsi="Times New Roman" w:cs="Times New Roman"/>
          <w:sz w:val="28"/>
          <w:lang w:val="ru-RU"/>
        </w:rPr>
        <w:t>]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Для одного треугольника[</w:t>
      </w:r>
      <w:hyperlink r:id="rId15" w:tooltip="Редактировать раздел «Для одного треугольника»" w:history="1">
        <w:r w:rsidRPr="00E25E5A">
          <w:rPr>
            <w:rFonts w:ascii="Times New Roman" w:hAnsi="Times New Roman" w:cs="Times New Roman"/>
            <w:sz w:val="28"/>
            <w:lang w:val="ru-RU"/>
          </w:rPr>
          <w:t>править</w:t>
        </w:r>
      </w:hyperlink>
      <w:r w:rsidRPr="00E25E5A">
        <w:rPr>
          <w:rFonts w:ascii="Times New Roman" w:hAnsi="Times New Roman" w:cs="Times New Roman"/>
          <w:sz w:val="28"/>
          <w:lang w:val="ru-RU"/>
        </w:rPr>
        <w:t>]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Пусть дан один конечный элемент, для простоты — треугольный. Матрица жёсткости, по сути, задаёт связи между узлами. Так как у элемента три узла (в локальной нумерации — 0, 1 и 2), то матрица будет иметь вид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E25E5A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38F1A3EF" wp14:editId="292ACB69">
                  <wp:extent cx="1228725" cy="695325"/>
                  <wp:effectExtent l="0" t="0" r="9525" b="9525"/>
                  <wp:docPr id="45" name="Picture 45" descr="&#10; \begin{bmatrix}&#10;  S_{00} &amp; S_{01} &amp; S_{02}\\&#10;  S_{10} &amp; S_{11} &amp; S_{12}\\&#10;  S_{20} &amp; S_{21} &amp; S_{22}&#10;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&#10; \begin{bmatrix}&#10;  S_{00} &amp; S_{01} &amp; S_{02}\\&#10;  S_{10} &amp; S_{11} &amp; S_{12}\\&#10;  S_{20} &amp; S_{21} &amp; S_{22}&#10;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В дальнейшем матрицу для одного треугольника будем называть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локальной, для всей сетки сразу -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глобальной.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В общем случае, элементы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209550" cy="190500"/>
            <wp:effectExtent l="0" t="0" r="0" b="0"/>
            <wp:docPr id="46" name="Picture 46" descr="S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_{ij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определеяются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через линейные функции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E25E5A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9E91175" wp14:editId="4D4F7BA3">
                  <wp:extent cx="4286250" cy="419100"/>
                  <wp:effectExtent l="0" t="0" r="0" b="0"/>
                  <wp:docPr id="47" name="Picture 47" descr="\alpha_1 = \cfrac {1} {4A} \big( (x_1y_2 + x_2y_1) \; + \; (y_1 - y_2)x \; + \; (x_2 - x_1)y \big) 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\alpha_1 = \cfrac {1} {4A} \big( (x_1y_2 + x_2y_1) \; + \; (y_1 - y_2)x \; + \; (x_2 - x_1)y \big) 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где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42875" cy="133350"/>
            <wp:effectExtent l="0" t="0" r="9525" b="0"/>
            <wp:docPr id="48" name="Picture 4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— площадь треугольного элемента.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80975" cy="114300"/>
            <wp:effectExtent l="0" t="0" r="9525" b="0"/>
            <wp:docPr id="49" name="Picture 49" descr="\alph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\alpha_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и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80975" cy="114300"/>
            <wp:effectExtent l="0" t="0" r="9525" b="0"/>
            <wp:docPr id="50" name="Picture 50" descr="\alph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\alpha_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>получаются из</w:t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71450" cy="123825"/>
            <wp:effectExtent l="0" t="0" r="0" b="9525"/>
            <wp:docPr id="51" name="Picture 51" descr="\alph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\alpha_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t xml:space="preserve">цикличной перестановкой индексов.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Удобно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искать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> </w:t>
      </w:r>
      <w:r w:rsidRPr="00E25E5A">
        <w:rPr>
          <w:rFonts w:ascii="Times New Roman" w:hAnsi="Times New Roman" w:cs="Times New Roman"/>
          <w:sz w:val="28"/>
          <w:lang w:val="ru-RU"/>
        </w:rPr>
        <w:drawing>
          <wp:inline distT="0" distB="0" distL="0" distR="0">
            <wp:extent cx="142875" cy="133350"/>
            <wp:effectExtent l="0" t="0" r="9525" b="0"/>
            <wp:docPr id="52" name="Picture 5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E5A">
        <w:rPr>
          <w:rFonts w:ascii="Times New Roman" w:hAnsi="Times New Roman" w:cs="Times New Roman"/>
          <w:sz w:val="28"/>
          <w:lang w:val="ru-RU"/>
        </w:rPr>
        <w:t> 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как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определитель</w:t>
      </w:r>
      <w:proofErr w:type="spellEnd"/>
      <w:r w:rsidRPr="00E25E5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25E5A">
        <w:rPr>
          <w:rFonts w:ascii="Times New Roman" w:hAnsi="Times New Roman" w:cs="Times New Roman"/>
          <w:sz w:val="28"/>
          <w:lang w:val="ru-RU"/>
        </w:rPr>
        <w:t>матрицы</w:t>
      </w:r>
      <w:proofErr w:type="spellEnd"/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E25E5A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02D482FA" wp14:editId="2DB15B75">
                  <wp:extent cx="1628775" cy="695325"/>
                  <wp:effectExtent l="0" t="0" r="9525" b="9525"/>
                  <wp:docPr id="53" name="Picture 53" descr="&#10;A = \det&#10;\begin{bmatrix}&#10;  1 &amp; x_1 &amp; y_1 \\&#10;  1 &amp; x_2 &amp; y_2 \\&#10;  1 &amp; x_3 &amp; y_3&#10; \end{b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&#10;A = \det&#10;\begin{bmatrix}&#10;  1 &amp; x_1 &amp; y_1 \\&#10;  1 &amp; x_2 &amp; y_2 \\&#10;  1 &amp; x_3 &amp; y_3&#10; \end{b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Сами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E25E5A" w:rsidTr="003637F6">
        <w:tc>
          <w:tcPr>
            <w:tcW w:w="8784" w:type="dxa"/>
          </w:tcPr>
          <w:p w:rsidR="00E25E5A" w:rsidRDefault="00E25E5A" w:rsidP="00E25E5A">
            <w:pPr>
              <w:spacing w:line="360" w:lineRule="auto"/>
              <w:jc w:val="center"/>
              <w:rPr>
                <w:rFonts w:eastAsia="Calibri"/>
                <w:sz w:val="28"/>
              </w:rPr>
            </w:pPr>
            <w:r w:rsidRPr="00E25E5A">
              <w:rPr>
                <w:rFonts w:ascii="Times New Roman" w:hAnsi="Times New Roman" w:cs="Times New Roman"/>
                <w:sz w:val="28"/>
                <w:lang w:val="ru-RU"/>
              </w:rPr>
              <w:drawing>
                <wp:inline distT="0" distB="0" distL="0" distR="0" wp14:anchorId="470794DD" wp14:editId="08E6C019">
                  <wp:extent cx="3000375" cy="352425"/>
                  <wp:effectExtent l="0" t="0" r="9525" b="9525"/>
                  <wp:docPr id="54" name="Picture 54" descr="S_{ij} = \int (\nabla \alpha_i) (\nabla \alpha_j) dS \;\;\;\;\; i, j = 0, 1,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S_{ij} = \int (\nabla \alpha_i) (\nabla \alpha_j) dS \;\;\;\;\; i, j = 0, 1,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" w:type="dxa"/>
            <w:vAlign w:val="center"/>
          </w:tcPr>
          <w:p w:rsidR="00E25E5A" w:rsidRPr="00D6295C" w:rsidRDefault="00E25E5A" w:rsidP="003637F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25E5A" w:rsidRDefault="00E25E5A" w:rsidP="00E25E5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 </w:t>
      </w:r>
    </w:p>
    <w:p w:rsidR="00F666F0" w:rsidRPr="00E25E5A" w:rsidRDefault="00F666F0" w:rsidP="00E25E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E25E5A">
        <w:rPr>
          <w:rFonts w:ascii="Times New Roman" w:hAnsi="Times New Roman" w:cs="Times New Roman"/>
          <w:sz w:val="28"/>
          <w:lang w:val="ru-RU"/>
        </w:rPr>
        <w:t>В описываемом случае для каждого треугольника составляется такая матрица:</w:t>
      </w: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Pr="00B408B1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E3157" w:rsidRPr="00B408B1" w:rsidRDefault="003E3157" w:rsidP="003E315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2.1 </w:t>
      </w:r>
      <w:r w:rsidRPr="00044254">
        <w:rPr>
          <w:rFonts w:ascii="Times New Roman" w:hAnsi="Times New Roman" w:cs="Times New Roman"/>
          <w:sz w:val="28"/>
          <w:lang w:val="ru-RU"/>
        </w:rPr>
        <w:t>Сравнение с расчётным программным комплексом ANSYS</w:t>
      </w:r>
    </w:p>
    <w:p w:rsidR="00BD2402" w:rsidRPr="00B408B1" w:rsidRDefault="00044254" w:rsidP="00B408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Современные расчетные комплексы позволяют рассчитывать большой спектр инженерных задач</w:t>
      </w:r>
      <w:r w:rsidR="00BD2402" w:rsidRPr="00B408B1">
        <w:rPr>
          <w:rFonts w:ascii="Times New Roman" w:hAnsi="Times New Roman" w:cs="Times New Roman"/>
          <w:sz w:val="28"/>
          <w:lang w:val="ru-RU"/>
        </w:rPr>
        <w:t>.</w:t>
      </w:r>
      <w:r w:rsidR="00470C9C">
        <w:rPr>
          <w:rFonts w:ascii="Times New Roman" w:hAnsi="Times New Roman" w:cs="Times New Roman"/>
          <w:sz w:val="28"/>
          <w:lang w:val="ru-RU"/>
        </w:rPr>
        <w:t xml:space="preserve"> </w:t>
      </w:r>
      <w:r w:rsidR="00470C9C" w:rsidRPr="00470C9C">
        <w:rPr>
          <w:rFonts w:ascii="Times New Roman" w:hAnsi="Times New Roman" w:cs="Times New Roman"/>
          <w:sz w:val="28"/>
          <w:lang w:val="ru-RU"/>
        </w:rPr>
        <w:t xml:space="preserve">ANSYS — универсальная программная система конечно-элементного (МКЭ) анализа, существующая и развивающаяся на протяжении последних 30 лет, является довольно популярной у специалистов в сфере автоматизированных инженерных расчётов (CAE, </w:t>
      </w:r>
      <w:proofErr w:type="spellStart"/>
      <w:r w:rsidR="00470C9C" w:rsidRPr="00470C9C">
        <w:rPr>
          <w:rFonts w:ascii="Times New Roman" w:hAnsi="Times New Roman" w:cs="Times New Roman"/>
          <w:sz w:val="28"/>
          <w:lang w:val="ru-RU"/>
        </w:rPr>
        <w:t>Computer-Aided</w:t>
      </w:r>
      <w:proofErr w:type="spellEnd"/>
      <w:r w:rsidR="00470C9C" w:rsidRPr="00470C9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70C9C" w:rsidRPr="00470C9C">
        <w:rPr>
          <w:rFonts w:ascii="Times New Roman" w:hAnsi="Times New Roman" w:cs="Times New Roman"/>
          <w:sz w:val="28"/>
          <w:lang w:val="ru-RU"/>
        </w:rPr>
        <w:t>Engineering</w:t>
      </w:r>
      <w:proofErr w:type="spellEnd"/>
      <w:r w:rsidR="00470C9C" w:rsidRPr="00470C9C">
        <w:rPr>
          <w:rFonts w:ascii="Times New Roman" w:hAnsi="Times New Roman" w:cs="Times New Roman"/>
          <w:sz w:val="28"/>
          <w:lang w:val="ru-RU"/>
        </w:rPr>
        <w:t xml:space="preserve">) и КЭ решения линейных и нелинейных, стационарных и нестационарных пространственных задач механики деформируемого твёрдого тела и механики конструкций (включая нестационарные геометрически и физически нелинейные задачи контактного взаимодействия элементов конструкций), задач механики жидкости и газа, теплопередачи и теплообмена, электродинамики, акустики, а также механики связанных полей. Моделирование и анализ в некоторых областях промышленности позволяет избежать дорогостоящих и длительных циклов разработки типа «проектирование — изготовление — испытания». Система работает на основе геометрического ядра </w:t>
      </w:r>
      <w:proofErr w:type="spellStart"/>
      <w:r w:rsidR="00470C9C" w:rsidRPr="00470C9C">
        <w:rPr>
          <w:rFonts w:ascii="Times New Roman" w:hAnsi="Times New Roman" w:cs="Times New Roman"/>
          <w:sz w:val="28"/>
          <w:lang w:val="ru-RU"/>
        </w:rPr>
        <w:t>Parasolid</w:t>
      </w:r>
      <w:proofErr w:type="spellEnd"/>
      <w:r w:rsidR="00470C9C">
        <w:rPr>
          <w:rFonts w:ascii="Times New Roman" w:hAnsi="Times New Roman" w:cs="Times New Roman"/>
          <w:sz w:val="28"/>
          <w:lang w:val="ru-RU"/>
        </w:rPr>
        <w:t>.</w:t>
      </w:r>
    </w:p>
    <w:p w:rsidR="00470C9C" w:rsidRPr="00470C9C" w:rsidRDefault="00470C9C" w:rsidP="00470C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Моделирование использует метод конечных элементов. </w:t>
      </w:r>
      <w:r w:rsidRPr="00470C9C">
        <w:rPr>
          <w:rFonts w:ascii="Times New Roman" w:hAnsi="Times New Roman" w:cs="Times New Roman"/>
          <w:sz w:val="28"/>
          <w:lang w:val="ru-RU"/>
        </w:rPr>
        <w:t xml:space="preserve">Суть метода следует из его названия. Область, в которой ищется решение дифференциальных уравнений, разбивается на конечное количество подобластей (элементов). В каждом из элементов произвольно выбирается вид аппроксимирующей функции. В простейшем случае это полином первой степени. Вне своего элемента аппроксимирующая функция равна нулю. Значения функций на границах элементов (в узлах) являются решением задачи </w:t>
      </w:r>
      <w:r w:rsidRPr="00470C9C">
        <w:rPr>
          <w:rFonts w:ascii="Times New Roman" w:hAnsi="Times New Roman" w:cs="Times New Roman"/>
          <w:sz w:val="28"/>
          <w:lang w:val="ru-RU"/>
        </w:rPr>
        <w:lastRenderedPageBreak/>
        <w:t>и заранее неизвестны. Коэффициенты аппроксимирующих функций обычно ищутся из условия равенства значения соседних функций на границах между элементами (в узлах). Затем эти коэффициенты выражаются через значения функций в узлах элементов. Составляется система линейных алгебраических уравнений. Количество уравнений равно количеству неизвестных значений в узлах, на которых ищется решение исходной системы, прямо пропорционально количеству элементов и ограничивается только возможностями ЭВМ. Так как каждый из элементов связан с ограниченным количеством соседних, система линейных алгебраических уравнений имеет разрежённый вид, что существенно упрощает её решение.</w:t>
      </w:r>
    </w:p>
    <w:p w:rsidR="00470C9C" w:rsidRPr="00470C9C" w:rsidRDefault="00470C9C" w:rsidP="00470C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470C9C">
        <w:rPr>
          <w:rFonts w:ascii="Times New Roman" w:hAnsi="Times New Roman" w:cs="Times New Roman"/>
          <w:sz w:val="28"/>
          <w:lang w:val="ru-RU"/>
        </w:rPr>
        <w:t>Если говорить в матричных терминах, то собираются так называемые матрицы жёсткости (или матрица Дирихле) и масс. Далее на эти матрицы накладываются граничные условия (например, при условиях Неймана в матрицах не меняется ничего, а при условиях Дирихле из матриц вычёркиваются строки и столбцы, соответствующие граничным узлам, так как в силу краевых условий значение соответствующих компонент решения известно). Затем собирается система линейных уравнений и решается одним из известных методов.</w:t>
      </w:r>
    </w:p>
    <w:p w:rsidR="00470C9C" w:rsidRDefault="00470C9C" w:rsidP="00470C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470C9C">
        <w:rPr>
          <w:rFonts w:ascii="Times New Roman" w:hAnsi="Times New Roman" w:cs="Times New Roman"/>
          <w:sz w:val="28"/>
          <w:lang w:val="ru-RU"/>
        </w:rPr>
        <w:t xml:space="preserve">С точки зрения вычислительной математики, идея метода конечных элементов заключается в том, что минимизация функционала вариационной задачи осуществляется на совокупности функций, каждая из которых определена на своей подобласти, для численного анализа системы позволяет рассматривать его как одну из конкретных ветвей </w:t>
      </w:r>
      <w:proofErr w:type="spellStart"/>
      <w:r w:rsidRPr="00470C9C">
        <w:rPr>
          <w:rFonts w:ascii="Times New Roman" w:hAnsi="Times New Roman" w:cs="Times New Roman"/>
          <w:sz w:val="28"/>
          <w:lang w:val="ru-RU"/>
        </w:rPr>
        <w:t>диакоптики</w:t>
      </w:r>
      <w:proofErr w:type="spellEnd"/>
      <w:r w:rsidRPr="00470C9C">
        <w:rPr>
          <w:rFonts w:ascii="Times New Roman" w:hAnsi="Times New Roman" w:cs="Times New Roman"/>
          <w:sz w:val="28"/>
          <w:lang w:val="ru-RU"/>
        </w:rPr>
        <w:t xml:space="preserve"> — общего метода исследования систем путём их расчленения.</w:t>
      </w:r>
    </w:p>
    <w:p w:rsidR="00470C9C" w:rsidRDefault="003E3157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468pt;height:177pt">
            <v:imagedata r:id="rId25" o:title="Mesh-refinement-iterations-and-computed-stress-field"/>
          </v:shape>
        </w:pict>
      </w:r>
    </w:p>
    <w:p w:rsidR="00470C9C" w:rsidRDefault="00470C9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E25E5A">
        <w:rPr>
          <w:rFonts w:ascii="Times New Roman" w:hAnsi="Times New Roman" w:cs="Times New Roman"/>
          <w:noProof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8C39C7">
        <w:rPr>
          <w:rFonts w:ascii="Times New Roman" w:hAnsi="Times New Roman" w:cs="Times New Roman"/>
          <w:sz w:val="28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Пример сетки конечных элементов разной размерности</w:t>
      </w:r>
    </w:p>
    <w:p w:rsidR="00470C9C" w:rsidRDefault="00470C9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470C9C" w:rsidRDefault="00470C9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построения модели мною была выбрана система «Компас». Технология создания твердотельной модели сборки представлена в таблице1.1</w:t>
      </w:r>
    </w:p>
    <w:p w:rsidR="00470C9C" w:rsidRDefault="00470C9C" w:rsidP="00470C9C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96"/>
        <w:gridCol w:w="7581"/>
      </w:tblGrid>
      <w:tr w:rsidR="00470C9C" w:rsidTr="00C61739">
        <w:tc>
          <w:tcPr>
            <w:tcW w:w="9350" w:type="dxa"/>
            <w:gridSpan w:val="3"/>
          </w:tcPr>
          <w:p w:rsidR="00470C9C" w:rsidRDefault="00470C9C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 Создание элемента сборки</w:t>
            </w:r>
          </w:p>
        </w:tc>
      </w:tr>
      <w:tr w:rsidR="00470C9C" w:rsidTr="003E2D9E">
        <w:tc>
          <w:tcPr>
            <w:tcW w:w="1755" w:type="dxa"/>
            <w:gridSpan w:val="2"/>
          </w:tcPr>
          <w:p w:rsidR="00470C9C" w:rsidRDefault="00470C9C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1.1 Использована функция вытянуть</w:t>
            </w:r>
          </w:p>
        </w:tc>
        <w:tc>
          <w:tcPr>
            <w:tcW w:w="7595" w:type="dxa"/>
          </w:tcPr>
          <w:p w:rsidR="00470C9C" w:rsidRDefault="00470C9C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426" w:dyaOrig="4471">
                <v:shape id="_x0000_i1180" type="#_x0000_t75" style="width:371.25pt;height:223.5pt" o:ole="">
                  <v:imagedata r:id="rId26" o:title=""/>
                </v:shape>
                <o:OLEObject Type="Embed" ProgID="PBrush" ShapeID="_x0000_i1180" DrawAspect="Content" ObjectID="_1524477532" r:id="rId27"/>
              </w:object>
            </w:r>
          </w:p>
        </w:tc>
      </w:tr>
      <w:tr w:rsidR="00470C9C" w:rsidTr="003E2D9E">
        <w:tc>
          <w:tcPr>
            <w:tcW w:w="1755" w:type="dxa"/>
            <w:gridSpan w:val="2"/>
          </w:tcPr>
          <w:p w:rsidR="00470C9C" w:rsidRDefault="003E2D9E" w:rsidP="003E2D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1.2 Для создания полости внутри цилиндра была использована функция вырезать</w:t>
            </w:r>
          </w:p>
        </w:tc>
        <w:tc>
          <w:tcPr>
            <w:tcW w:w="7595" w:type="dxa"/>
          </w:tcPr>
          <w:p w:rsidR="00470C9C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981" w:dyaOrig="4471">
                <v:shape id="_x0000_i1181" type="#_x0000_t75" style="width:399pt;height:223.5pt" o:ole="">
                  <v:imagedata r:id="rId28" o:title=""/>
                </v:shape>
                <o:OLEObject Type="Embed" ProgID="PBrush" ShapeID="_x0000_i1181" DrawAspect="Content" ObjectID="_1524477533" r:id="rId29"/>
              </w:object>
            </w:r>
          </w:p>
        </w:tc>
      </w:tr>
      <w:tr w:rsidR="003E2D9E" w:rsidTr="003E2D9E">
        <w:tc>
          <w:tcPr>
            <w:tcW w:w="1755" w:type="dxa"/>
            <w:gridSpan w:val="2"/>
          </w:tcPr>
          <w:p w:rsidR="003E2D9E" w:rsidRDefault="003E2D9E" w:rsidP="003E2D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1.3 Для создания штока цилиндра была использована функция вытянуть</w:t>
            </w:r>
          </w:p>
        </w:tc>
        <w:tc>
          <w:tcPr>
            <w:tcW w:w="7595" w:type="dxa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7664" w:dyaOrig="3960">
                <v:shape id="_x0000_i1182" type="#_x0000_t75" style="width:383.25pt;height:198pt" o:ole="">
                  <v:imagedata r:id="rId30" o:title=""/>
                </v:shape>
                <o:OLEObject Type="Embed" ProgID="PBrush" ShapeID="_x0000_i1182" DrawAspect="Content" ObjectID="_1524477534" r:id="rId31"/>
              </w:object>
            </w:r>
          </w:p>
        </w:tc>
      </w:tr>
      <w:tr w:rsidR="003E2D9E" w:rsidTr="003E2D9E">
        <w:tc>
          <w:tcPr>
            <w:tcW w:w="1755" w:type="dxa"/>
            <w:gridSpan w:val="2"/>
          </w:tcPr>
          <w:p w:rsidR="003E2D9E" w:rsidRDefault="003E2D9E" w:rsidP="003E2D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1.4 Для создания </w:t>
            </w:r>
            <w:proofErr w:type="spellStart"/>
            <w:r>
              <w:rPr>
                <w:sz w:val="28"/>
              </w:rPr>
              <w:t>грундбуксы</w:t>
            </w:r>
            <w:proofErr w:type="spellEnd"/>
            <w:r>
              <w:rPr>
                <w:sz w:val="28"/>
              </w:rPr>
              <w:t xml:space="preserve"> была использована операция выдавить</w:t>
            </w:r>
          </w:p>
        </w:tc>
        <w:tc>
          <w:tcPr>
            <w:tcW w:w="7595" w:type="dxa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6119" w:dyaOrig="3751">
                <v:shape id="_x0000_i1183" type="#_x0000_t75" style="width:306pt;height:187.5pt" o:ole="">
                  <v:imagedata r:id="rId32" o:title=""/>
                </v:shape>
                <o:OLEObject Type="Embed" ProgID="PBrush" ShapeID="_x0000_i1183" DrawAspect="Content" ObjectID="_1524477535" r:id="rId33"/>
              </w:object>
            </w:r>
          </w:p>
        </w:tc>
      </w:tr>
      <w:tr w:rsidR="003E2D9E" w:rsidTr="00DA33D3">
        <w:tc>
          <w:tcPr>
            <w:tcW w:w="9350" w:type="dxa"/>
            <w:gridSpan w:val="3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sz w:val="28"/>
              </w:rPr>
              <w:lastRenderedPageBreak/>
              <w:t xml:space="preserve">2. Сопряжения </w:t>
            </w:r>
            <w:proofErr w:type="spellStart"/>
            <w:r>
              <w:rPr>
                <w:sz w:val="28"/>
              </w:rPr>
              <w:t>грундбуксы</w:t>
            </w:r>
            <w:proofErr w:type="spellEnd"/>
            <w:r>
              <w:rPr>
                <w:sz w:val="28"/>
              </w:rPr>
              <w:t xml:space="preserve"> и штока</w:t>
            </w:r>
          </w:p>
        </w:tc>
      </w:tr>
      <w:tr w:rsidR="003E2D9E" w:rsidTr="003E2D9E">
        <w:tc>
          <w:tcPr>
            <w:tcW w:w="1605" w:type="dxa"/>
          </w:tcPr>
          <w:p w:rsidR="003E2D9E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2.1 Совмещаем </w:t>
            </w:r>
            <w:proofErr w:type="spellStart"/>
            <w:r>
              <w:rPr>
                <w:sz w:val="28"/>
              </w:rPr>
              <w:t>грундбуксу</w:t>
            </w:r>
            <w:proofErr w:type="spellEnd"/>
            <w:r>
              <w:rPr>
                <w:sz w:val="28"/>
              </w:rPr>
              <w:t xml:space="preserve"> и шток</w:t>
            </w:r>
          </w:p>
        </w:tc>
        <w:tc>
          <w:tcPr>
            <w:tcW w:w="7745" w:type="dxa"/>
            <w:gridSpan w:val="2"/>
          </w:tcPr>
          <w:p w:rsidR="003E2D9E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6779" w:dyaOrig="4021">
                <v:shape id="_x0000_i1184" type="#_x0000_t75" style="width:339pt;height:201pt" o:ole="">
                  <v:imagedata r:id="rId34" o:title=""/>
                </v:shape>
                <o:OLEObject Type="Embed" ProgID="PBrush" ShapeID="_x0000_i1184" DrawAspect="Content" ObjectID="_1524477536" r:id="rId35"/>
              </w:object>
            </w:r>
          </w:p>
        </w:tc>
      </w:tr>
      <w:tr w:rsidR="003E2D9E" w:rsidTr="003E2D9E">
        <w:tc>
          <w:tcPr>
            <w:tcW w:w="1605" w:type="dxa"/>
          </w:tcPr>
          <w:p w:rsidR="003E2D9E" w:rsidRDefault="003E2D9E" w:rsidP="00AD04BC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2.2</w:t>
            </w:r>
            <w:r w:rsidR="00A620B2">
              <w:rPr>
                <w:sz w:val="28"/>
              </w:rPr>
              <w:t xml:space="preserve"> Совмещаем шток с цилиндром</w:t>
            </w:r>
          </w:p>
        </w:tc>
        <w:tc>
          <w:tcPr>
            <w:tcW w:w="7745" w:type="dxa"/>
            <w:gridSpan w:val="2"/>
          </w:tcPr>
          <w:p w:rsidR="003E2D9E" w:rsidRDefault="003E2D9E" w:rsidP="00AD04BC">
            <w:pPr>
              <w:spacing w:line="360" w:lineRule="auto"/>
              <w:jc w:val="both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object w:dxaOrig="9929" w:dyaOrig="5999">
                <v:shape id="_x0000_i1185" type="#_x0000_t75" style="width:396.75pt;height:240pt" o:ole="">
                  <v:imagedata r:id="rId36" o:title=""/>
                </v:shape>
                <o:OLEObject Type="Embed" ProgID="PBrush" ShapeID="_x0000_i1185" DrawAspect="Content" ObjectID="_1524477537" r:id="rId37"/>
              </w:object>
            </w:r>
          </w:p>
        </w:tc>
      </w:tr>
    </w:tbl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A620B2" w:rsidRDefault="00A620B2" w:rsidP="00BC3222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B846D13" wp14:editId="62593A5B">
            <wp:extent cx="5943600" cy="33718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B2" w:rsidRDefault="00A620B2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E25E5A">
        <w:rPr>
          <w:rFonts w:ascii="Times New Roman" w:hAnsi="Times New Roman" w:cs="Times New Roman"/>
          <w:noProof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8C39C7">
        <w:rPr>
          <w:rFonts w:ascii="Times New Roman" w:hAnsi="Times New Roman" w:cs="Times New Roman"/>
          <w:sz w:val="28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Сечение расчетной модели</w:t>
      </w:r>
    </w:p>
    <w:p w:rsidR="00E60A6D" w:rsidRPr="008816A4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E60A6D" w:rsidRPr="0088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D6392"/>
    <w:rsid w:val="00300091"/>
    <w:rsid w:val="00302DDC"/>
    <w:rsid w:val="0032655D"/>
    <w:rsid w:val="0033150A"/>
    <w:rsid w:val="0035298F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B69C0"/>
    <w:rsid w:val="009D79B4"/>
    <w:rsid w:val="00A06864"/>
    <w:rsid w:val="00A1149B"/>
    <w:rsid w:val="00A16F1B"/>
    <w:rsid w:val="00A620B2"/>
    <w:rsid w:val="00A677CB"/>
    <w:rsid w:val="00A733B7"/>
    <w:rsid w:val="00A76301"/>
    <w:rsid w:val="00A8704D"/>
    <w:rsid w:val="00AA7841"/>
    <w:rsid w:val="00AC0399"/>
    <w:rsid w:val="00AC2884"/>
    <w:rsid w:val="00AC7306"/>
    <w:rsid w:val="00AD04BC"/>
    <w:rsid w:val="00AD2DD7"/>
    <w:rsid w:val="00AE3C15"/>
    <w:rsid w:val="00B203C0"/>
    <w:rsid w:val="00B36935"/>
    <w:rsid w:val="00B408B1"/>
    <w:rsid w:val="00B40A01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4C8A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4.bin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0%9F%D1%83%D0%B0%D1%81%D1%81%D0%BE%D0%BD%D0%B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oleObject" Target="embeddings/oleObject6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books.org/w/index.php?title=%D0%9C%D0%B5%D1%82%D0%BE%D0%B4_%D0%BA%D0%BE%D0%BD%D0%B5%D1%87%D0%BD%D1%8B%D1%85_%D1%8D%D0%BB%D0%B5%D0%BC%D0%B5%D0%BD%D1%82%D0%BE%D0%B2&amp;action=edit&amp;section=5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books.org/w/index.php?title=%D0%9C%D0%B5%D1%82%D0%BE%D0%B4_%D0%BA%D0%BE%D0%BD%D0%B5%D1%87%D0%BD%D1%8B%D1%85_%D1%8D%D0%BB%D0%B5%D0%BC%D0%B5%D0%BD%D1%82%D0%BE%D0%B2&amp;action=edit&amp;section=4" TargetMode="External"/><Relationship Id="rId22" Type="http://schemas.openxmlformats.org/officeDocument/2006/relationships/image" Target="media/image14.png"/><Relationship Id="rId27" Type="http://schemas.openxmlformats.org/officeDocument/2006/relationships/oleObject" Target="embeddings/oleObject1.bin"/><Relationship Id="rId30" Type="http://schemas.openxmlformats.org/officeDocument/2006/relationships/image" Target="media/image20.png"/><Relationship Id="rId35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B050-0ABA-4E71-8CEF-1CECAE23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10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49</cp:revision>
  <dcterms:created xsi:type="dcterms:W3CDTF">2016-01-30T23:04:00Z</dcterms:created>
  <dcterms:modified xsi:type="dcterms:W3CDTF">2016-05-11T10:12:00Z</dcterms:modified>
</cp:coreProperties>
</file>