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17</w:t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3 9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4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12 97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5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0 50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28</w:t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6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101 202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highlight w:val="white"/>
                <w:rtl w:val="0"/>
              </w:rPr>
              <w:t xml:space="preserve">755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7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1 100000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4838098</w:t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8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6 62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9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797 797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797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10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21473 83649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highlight w:val="white"/>
                <w:rtl w:val="0"/>
              </w:rPr>
              <w:t xml:space="preserve">2630620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