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b/>
          <w:b/>
          <w:color w:val="auto"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 - Конфигурация безопасности коммутатора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Таблица VLAN</w:t>
      </w:r>
    </w:p>
    <w:tbl>
      <w:tblPr>
        <w:tblStyle w:val="LabTableStyle"/>
        <w:tblW w:w="100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1890"/>
        <w:gridCol w:w="2159"/>
        <w:gridCol w:w="2251"/>
        <w:gridCol w:w="2247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7" w:type="dxa"/>
            <w:tcBorders>
              <w:bottom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Коммутатор</w:t>
            </w:r>
          </w:p>
        </w:tc>
        <w:tc>
          <w:tcPr>
            <w:tcW w:w="1890" w:type="dxa"/>
            <w:tcBorders/>
            <w:shd w:color="auto" w:fill="DBE5F1" w:themeFill="accent1" w:themeFillTint="33" w:val="clear"/>
            <w:vAlign w:val="center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Номер VLAN</w:t>
            </w:r>
          </w:p>
        </w:tc>
        <w:tc>
          <w:tcPr>
            <w:tcW w:w="2159" w:type="dxa"/>
            <w:tcBorders/>
            <w:shd w:color="auto" w:fill="DBE5F1" w:val="clear"/>
            <w:vAlign w:val="center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Имя VLAN</w:t>
            </w:r>
          </w:p>
        </w:tc>
        <w:tc>
          <w:tcPr>
            <w:tcW w:w="2251" w:type="dxa"/>
            <w:tcBorders/>
            <w:shd w:color="auto" w:fill="DBE5F1" w:val="clear"/>
            <w:vAlign w:val="center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Членство в порту</w:t>
            </w:r>
          </w:p>
        </w:tc>
        <w:tc>
          <w:tcPr>
            <w:tcW w:w="2247" w:type="dxa"/>
            <w:tcBorders/>
            <w:shd w:color="auto" w:fill="DBE5F1" w:val="clear"/>
            <w:vAlign w:val="center"/>
          </w:tcPr>
          <w:p>
            <w:pPr>
              <w:pStyle w:val="Style14"/>
              <w:spacing w:before="120" w:after="120"/>
              <w:rPr>
                <w:rFonts w:ascii="Arial" w:hAnsi="Arial"/>
              </w:rPr>
            </w:pPr>
            <w:r>
              <w:rPr>
                <w:lang w:val="ru-RU"/>
              </w:rPr>
              <w:t>Сеть</w:t>
            </w:r>
          </w:p>
        </w:tc>
      </w:tr>
      <w:tr>
        <w:trPr/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10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F0/1, F0/2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20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Продажи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F0/10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99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F0/24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192.168.99.0/24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100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 xml:space="preserve">Собственный 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G0/1, G0/2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Нет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SW-1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999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BlackHole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Все неиспользуемые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Нет</w:t>
            </w:r>
          </w:p>
        </w:tc>
      </w:tr>
      <w:tr>
        <w:trPr/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SW-2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10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F0/1, F0/22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192.168.10.0/24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SW-2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20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Продажи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F0/10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SW-2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99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F0/24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192.168.99.0/24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SW-2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100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Собственный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Нет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Нет</w:t>
            </w:r>
          </w:p>
        </w:tc>
      </w:tr>
      <w:tr>
        <w:trPr/>
        <w:tc>
          <w:tcPr>
            <w:tcW w:w="15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SW-2</w:t>
            </w:r>
          </w:p>
        </w:tc>
        <w:tc>
          <w:tcPr>
            <w:tcW w:w="1890" w:type="dxa"/>
            <w:tcBorders>
              <w:left w:val="single" w:sz="4" w:space="0" w:color="000000"/>
            </w:tcBorders>
            <w:vAlign w:val="bottom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lang w:val="ru-RU"/>
              </w:rPr>
              <w:t>999</w:t>
            </w:r>
          </w:p>
        </w:tc>
        <w:tc>
          <w:tcPr>
            <w:tcW w:w="2159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BlackHole</w:t>
            </w:r>
          </w:p>
        </w:tc>
        <w:tc>
          <w:tcPr>
            <w:tcW w:w="2251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Все неиспользуемые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None</w:t>
            </w:r>
          </w:p>
        </w:tc>
      </w:tr>
    </w:tbl>
    <w:p>
      <w:pPr>
        <w:pStyle w:val="1"/>
        <w:numPr>
          <w:ilvl w:val="0"/>
          <w:numId w:val="3"/>
        </w:numPr>
        <w:rPr/>
      </w:pPr>
      <w:r>
        <w:rPr>
          <w:lang w:val="ru-RU"/>
        </w:rPr>
        <w:t>Задачи</w:t>
      </w:r>
    </w:p>
    <w:p>
      <w:pPr>
        <w:pStyle w:val="BodyTextL25Bold"/>
        <w:rPr/>
      </w:pPr>
      <w:r>
        <w:rPr>
          <w:lang w:val="ru-RU"/>
        </w:rPr>
        <w:t>Часть 1. Создание защищенного магистрального соединения</w:t>
      </w:r>
    </w:p>
    <w:p>
      <w:pPr>
        <w:pStyle w:val="BodyTextL25Bold"/>
        <w:rPr/>
      </w:pPr>
      <w:r>
        <w:rPr>
          <w:lang w:val="ru-RU"/>
        </w:rPr>
        <w:t>Часть 2: Безопасность неиспользуемых портов коммутатора</w:t>
      </w:r>
    </w:p>
    <w:p>
      <w:pPr>
        <w:pStyle w:val="BodyTextL25Bold"/>
        <w:rPr/>
      </w:pPr>
      <w:r>
        <w:rPr>
          <w:lang w:val="ru-RU"/>
        </w:rPr>
        <w:t>Часть 3: Обеспечение безопасности портов</w:t>
      </w:r>
    </w:p>
    <w:p>
      <w:pPr>
        <w:pStyle w:val="BodyTextL25Bold"/>
        <w:rPr/>
      </w:pPr>
      <w:r>
        <w:rPr>
          <w:lang w:val="ru-RU"/>
        </w:rPr>
        <w:t>Часть 4: Включение отслеживание DHCP</w:t>
      </w:r>
    </w:p>
    <w:p>
      <w:pPr>
        <w:pStyle w:val="BodyTextL25Bold"/>
        <w:rPr/>
      </w:pPr>
      <w:r>
        <w:rPr>
          <w:lang w:val="ru-RU"/>
        </w:rPr>
        <w:t>Часть 5: Настройка Rapid PVST, PortFast и BPDU Guard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Общие сведения</w:t>
      </w:r>
    </w:p>
    <w:p>
      <w:pPr>
        <w:pStyle w:val="BodyTextL25"/>
        <w:rPr/>
      </w:pPr>
      <w:r>
        <w:rPr>
          <w:lang w:val="ru-RU"/>
        </w:rPr>
        <w:t>Вы повышаете безопасность на двух коммутаторах доступа в частично настроенной сети. Вы реализуете ряд мер безопасности, описанных в этом модуле, в соответствии с приведенными ниже требованиями. Обратите внимание, что в этой сети настроена маршрутизация, поэтому соединение между узлами в разных VLAN должно функционировать после завершения.</w:t>
      </w:r>
    </w:p>
    <w:p>
      <w:pPr>
        <w:pStyle w:val="1"/>
        <w:numPr>
          <w:ilvl w:val="0"/>
          <w:numId w:val="3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Создание защищенного магистрального соединения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Соедините порты G0/2 двух коммутаторов уровня доступа.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Настройте порты G0/1 и G0/2 как статическое магистральное соединение на обоих коммутаторах.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Отключите согласование DTP на обеих сторонах канала.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Создайте VLAN 100 и присвойте ей имя Native на обоих коммутаторах.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Настройте все магистральные порты на обоих коммутаторах для использования VLAN 100 в качестве native VLAN.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Безопасность неиспользуемых портов коммутатора</w:t>
      </w:r>
    </w:p>
    <w:p>
      <w:pPr>
        <w:pStyle w:val="SubStepAlpha"/>
        <w:numPr>
          <w:ilvl w:val="3"/>
          <w:numId w:val="9"/>
        </w:numPr>
        <w:rPr/>
      </w:pPr>
      <w:r>
        <w:rPr>
          <w:lang w:val="ru-RU"/>
        </w:rPr>
        <w:t>Отключите все неиспользуемые порты на коммутаторе SW-1.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 коммутаторе S1 создайте сеть VLAN 999 и присвойте ей имя BlackHole. Настроенное имя должно точно соответствовать требованию.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Переместите все неиспользуемые порты коммутатора во VLAN BlackHole.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Обеспечение безопасности портов</w:t>
      </w:r>
    </w:p>
    <w:p>
      <w:pPr>
        <w:pStyle w:val="SubStepAlpha"/>
        <w:numPr>
          <w:ilvl w:val="3"/>
          <w:numId w:val="10"/>
        </w:numPr>
        <w:rPr/>
      </w:pPr>
      <w:r>
        <w:rPr>
          <w:lang w:val="ru-RU"/>
        </w:rPr>
        <w:t>Активируйте защиту портов на всех активных портах доступа на коммутаторе SW-1.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Сконфигурируйте активные порты, чтобы разрешить изучение максимум 4 MAC-адресов на портах.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Для портов F0/1 на SW-1 статически сконфигурируйте MAC-адрес компьютера с использованием защиты порта.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Настройте каждый активный порт доступа таким образом, чтобы он автоматически добавлял адреса МАС, изученные на этом порту, в текущую конфигурацию.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Настройте режим нарушения безопасности порта, чтобы отбрасывать пакеты с MAC-адресов, которые превышают максимум, генерировать запись системного журнала, но не отключать порты.</w:t>
      </w:r>
      <w:bookmarkStart w:id="0" w:name="_Hlk14360936"/>
      <w:bookmarkEnd w:id="0"/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Настройте анализ DHCP-трафика.</w:t>
      </w:r>
    </w:p>
    <w:p>
      <w:pPr>
        <w:pStyle w:val="SubStepAlpha"/>
        <w:numPr>
          <w:ilvl w:val="3"/>
          <w:numId w:val="11"/>
        </w:numPr>
        <w:rPr/>
      </w:pPr>
      <w:r>
        <w:rPr>
          <w:lang w:val="ru-RU"/>
        </w:rPr>
        <w:t>Настройте магистральные порты на SW-1 как доверенные порты.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Ограничьте ненадежные порты на SW-1 пятью DHCP-пакетами в секунду.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 SW-2 включите DHCP snooping глобально и для VLAN 10, 20 и 99.</w:t>
      </w:r>
    </w:p>
    <w:p>
      <w:pPr>
        <w:pStyle w:val="SubStepAlpha"/>
        <w:numPr>
          <w:ilvl w:val="0"/>
          <w:numId w:val="0"/>
        </w:numPr>
        <w:ind w:left="360" w:hanging="0"/>
        <w:rPr/>
      </w:pPr>
      <w:r>
        <w:rPr>
          <w:b/>
          <w:lang w:val="ru-RU"/>
        </w:rPr>
        <w:t>Примечание.</w:t>
      </w:r>
      <w:r>
        <w:rPr>
          <w:lang w:val="ru-RU"/>
        </w:rPr>
        <w:t xml:space="preserve"> Конфигурация отслеживания DHCP может не работать должным образом в Packet Tracer.</w:t>
      </w:r>
    </w:p>
    <w:p>
      <w:pPr>
        <w:pStyle w:val="2"/>
        <w:numPr>
          <w:ilvl w:val="1"/>
          <w:numId w:val="3"/>
        </w:numPr>
        <w:rPr/>
      </w:pPr>
      <w:r>
        <w:rPr>
          <w:lang w:val="ru-RU"/>
        </w:rPr>
        <w:t>Выполнить настройку PortFast и BPDU Guard.</w:t>
      </w:r>
    </w:p>
    <w:p>
      <w:pPr>
        <w:pStyle w:val="SubStepAlpha"/>
        <w:numPr>
          <w:ilvl w:val="3"/>
          <w:numId w:val="12"/>
        </w:numPr>
        <w:rPr/>
      </w:pPr>
      <w:r>
        <w:rPr>
          <w:lang w:val="ru-RU"/>
        </w:rPr>
        <w:t>Включите PortFast на всех портах доступа, которые используются на SW-1.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Включите BPDU Guard на всех портах доступа, которые используются на SW-1.</w:t>
      </w:r>
    </w:p>
    <w:p>
      <w:pPr>
        <w:pStyle w:val="SubStepAlpha"/>
        <w:numPr>
          <w:ilvl w:val="3"/>
          <w:numId w:val="8"/>
        </w:numPr>
        <w:rPr/>
      </w:pPr>
      <w:r>
        <w:rPr>
          <w:lang w:val="ru-RU"/>
        </w:rPr>
        <w:t>Настройте SW-2, чтобы все порты доступа использовали PortFast по умолчанию.</w:t>
      </w:r>
    </w:p>
    <w:p>
      <w:pPr>
        <w:pStyle w:val="ConfigWindow"/>
        <w:rPr/>
      </w:pPr>
      <w:r>
        <w:rPr>
          <w:lang w:val="ru-RU"/>
        </w:rPr>
        <w:t>Конец документа</w:t>
      </w:r>
    </w:p>
    <w:p>
      <w:pPr>
        <w:pStyle w:val="1"/>
        <w:numPr>
          <w:ilvl w:val="0"/>
          <w:numId w:val="3"/>
        </w:numPr>
        <w:spacing w:before="240" w:after="120"/>
        <w:rPr>
          <w:rStyle w:val="DevConfigGray"/>
          <w:lang w:val="ru-RU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2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45423221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 - Конфигурация безопасности коммутатора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Шаг %2."/>
      <w:lvlJc w:val="left"/>
      <w:pPr>
        <w:ind w:left="0" w:hanging="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1">
      <w:lvl w:ilvl="1">
        <w:start w:val="1"/>
        <w:numFmt w:val="decimal"/>
        <w:suff w:val="space"/>
        <w:lvlText w:val="Часть %2."/>
        <w:lvlJc w:val="left"/>
        <w:pPr>
          <w:ind w:left="0" w:hanging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hanging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</w:lvl>
    </w:lvlOverride>
  </w:num>
  <w:num w:numId="9">
    <w:abstractNumId w:val="3"/>
    <w:lvlOverride w:ilvl="1">
      <w:lvl w:ilvl="1">
        <w:start w:val="1"/>
        <w:numFmt w:val="decimal"/>
        <w:suff w:val="space"/>
        <w:lvlText w:val="Часть %2."/>
        <w:lvlJc w:val="left"/>
        <w:pPr>
          <w:ind w:left="0" w:hanging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hanging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</w:lvl>
    </w:lvlOverride>
  </w:num>
  <w:num w:numId="10">
    <w:abstractNumId w:val="3"/>
    <w:lvlOverride w:ilvl="1">
      <w:lvl w:ilvl="1">
        <w:start w:val="1"/>
        <w:numFmt w:val="decimal"/>
        <w:suff w:val="space"/>
        <w:lvlText w:val="Часть %2."/>
        <w:lvlJc w:val="left"/>
        <w:pPr>
          <w:ind w:left="0" w:hanging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hanging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</w:lvl>
    </w:lvlOverride>
  </w:num>
  <w:num w:numId="11">
    <w:abstractNumId w:val="3"/>
    <w:lvlOverride w:ilvl="1">
      <w:lvl w:ilvl="1">
        <w:start w:val="1"/>
        <w:numFmt w:val="decimal"/>
        <w:suff w:val="space"/>
        <w:lvlText w:val="Часть %2."/>
        <w:lvlJc w:val="left"/>
        <w:pPr>
          <w:ind w:left="0" w:hanging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hanging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</w:lvl>
    </w:lvlOverride>
  </w:num>
  <w:num w:numId="12">
    <w:abstractNumId w:val="3"/>
    <w:lvlOverride w:ilvl="1">
      <w:lvl w:ilvl="1">
        <w:start w:val="1"/>
        <w:numFmt w:val="decimal"/>
        <w:suff w:val="space"/>
        <w:lvlText w:val="Часть %2."/>
        <w:lvlJc w:val="left"/>
        <w:pPr>
          <w:ind w:left="0" w:hanging="0"/>
        </w:p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hanging="0"/>
        </w:p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136476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 w:val="true"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136476"/>
    <w:pPr>
      <w:keepNext w:val="true"/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075ea9"/>
    <w:pPr>
      <w:keepNext w:val="true"/>
      <w:ind w:left="720" w:hanging="0"/>
      <w:outlineLvl w:val="3"/>
    </w:pPr>
    <w:rPr>
      <w:rFonts w:eastAsia="Times New Roman"/>
      <w:bCs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b91475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136476"/>
    <w:rPr>
      <w:rFonts w:eastAsia="Times New Roman"/>
      <w:b/>
      <w:bCs/>
      <w:sz w:val="24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075ea9"/>
    <w:rPr>
      <w:rFonts w:eastAsia="Times New Roman"/>
      <w:bCs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6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7">
    <w:name w:val="List"/>
    <w:basedOn w:val="Style6"/>
    <w:pPr/>
    <w:rPr>
      <w:rFonts w:cs="Noto Sans Devanagari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0">
    <w:name w:val="Верхний и нижний колонтитулы"/>
    <w:basedOn w:val="Normal"/>
    <w:qFormat/>
    <w:pPr/>
    <w:rPr/>
  </w:style>
  <w:style w:type="paragraph" w:styleId="Style11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2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3">
    <w:name w:val="Содержимое таблицы"/>
    <w:basedOn w:val="Normal"/>
    <w:qFormat/>
    <w:pPr/>
    <w:rPr/>
  </w:style>
  <w:style w:type="paragraph" w:styleId="Style14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6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136476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136476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5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6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6"/>
    <w:next w:val="BodyTextL25"/>
    <w:link w:val="BodyTextBoldChar"/>
    <w:qFormat/>
    <w:rsid w:val="00c73e03"/>
    <w:pPr/>
    <w:rPr>
      <w:b/>
    </w:rPr>
  </w:style>
  <w:style w:type="paragraph" w:styleId="Style17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LabSection" w:customStyle="1">
    <w:name w:val="Lab Section"/>
    <w:basedOn w:val="1"/>
    <w:next w:val="BodyText1"/>
    <w:qFormat/>
    <w:rsid w:val="00dd2048"/>
    <w:pPr>
      <w:numPr>
        <w:ilvl w:val="0"/>
        <w:numId w:val="0"/>
      </w:numPr>
      <w:tabs>
        <w:tab w:val="clear" w:pos="720"/>
        <w:tab w:val="left" w:pos="0" w:leader="none"/>
      </w:tabs>
      <w:spacing w:lineRule="auto" w:line="240"/>
    </w:pPr>
    <w:rPr>
      <w:rFonts w:eastAsia="Times New Roman"/>
      <w:b w:val="false"/>
      <w:bCs w:val="false"/>
      <w:iCs/>
      <w:sz w:val="24"/>
    </w:rPr>
  </w:style>
  <w:style w:type="paragraph" w:styleId="LabTitle" w:customStyle="1">
    <w:name w:val="Lab Title"/>
    <w:basedOn w:val="Normal"/>
    <w:qFormat/>
    <w:rsid w:val="00dd2048"/>
    <w:pPr/>
    <w:rPr>
      <w:b/>
      <w:sz w:val="32"/>
    </w:rPr>
  </w:style>
  <w:style w:type="paragraph" w:styleId="BodyText1" w:customStyle="1">
    <w:name w:val="Body Text1"/>
    <w:basedOn w:val="Normal"/>
    <w:qFormat/>
    <w:rsid w:val="00dd2048"/>
    <w:pPr>
      <w:spacing w:lineRule="auto" w:line="240"/>
    </w:pPr>
    <w:rPr>
      <w:sz w:val="20"/>
    </w:rPr>
  </w:style>
  <w:style w:type="paragraph" w:styleId="PartHead" w:customStyle="1">
    <w:name w:val="Part Head"/>
    <w:basedOn w:val="2"/>
    <w:next w:val="BodyTextL25"/>
    <w:qFormat/>
    <w:rsid w:val="00dd2048"/>
    <w:pPr>
      <w:numPr>
        <w:ilvl w:val="0"/>
        <w:numId w:val="0"/>
      </w:numPr>
      <w:tabs>
        <w:tab w:val="clear" w:pos="720"/>
        <w:tab w:val="left" w:pos="936" w:leader="none"/>
      </w:tabs>
      <w:spacing w:before="240" w:after="120"/>
      <w:outlineLvl w:val="0"/>
    </w:pPr>
    <w:rPr>
      <w:b w:val="false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136476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>
            <w:rPr>
              <w:rStyle w:val="PlaceholderText"/>
              <w:lang w:val="ru-RU"/>
              <w:rFonts/>
            </w:rPr>
            <w:t xml:space="preserve"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8335BF"/>
    <w:rsid w:val="008A32C6"/>
    <w:rsid w:val="009D2C22"/>
    <w:rsid w:val="00AB33CC"/>
    <w:rsid w:val="00B2034F"/>
    <w:rsid w:val="00E957B5"/>
    <w:rsid w:val="00F375C0"/>
    <w:rsid w:val="00F511CF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C5E45-F49B-48AF-87B5-F38FD3910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FCCBD5-55F2-47ED-B851-89054F965A65}"/>
</file>

<file path=customXml/itemProps3.xml><?xml version="1.0" encoding="utf-8"?>
<ds:datastoreItem xmlns:ds="http://schemas.openxmlformats.org/officeDocument/2006/customXml" ds:itemID="{9E589F9F-E3AF-49C1-9E1B-1E3949E42C77}"/>
</file>

<file path=customXml/itemProps4.xml><?xml version="1.0" encoding="utf-8"?>
<ds:datastoreItem xmlns:ds="http://schemas.openxmlformats.org/officeDocument/2006/customXml" ds:itemID="{A9F8A3B6-1D11-49B9-A5FF-1D903E49E8F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Application>LibreOffice/6.4.2.2$Linux_X86_64 LibreOffice_project/40$Build-2</Application>
  <Pages>2</Pages>
  <Words>487</Words>
  <Characters>3028</Characters>
  <CharactersWithSpaces>3406</CharactersWithSpaces>
  <Paragraphs>96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Конфигурация безопасности коммутатора</dc:title>
  <dc:subject/>
  <dc:creator>Martin Benson</dc:creator>
  <dc:description>2019 г.</dc:description>
  <cp:lastModifiedBy/>
  <cp:revision>9</cp:revision>
  <dcterms:created xsi:type="dcterms:W3CDTF">2019-08-27T19:57:00Z</dcterms:created>
  <dcterms:modified xsi:type="dcterms:W3CDTF">2020-04-27T21:02:45Z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