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A8C9" w14:textId="6AF99048" w:rsidR="004D36D7" w:rsidRDefault="000768A3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438A49381DA453699B750019DC31B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E3E5D">
            <w:t>Packet Tracer - реализация DHCPv4</w:t>
          </w:r>
        </w:sdtContent>
      </w:sdt>
    </w:p>
    <w:p w14:paraId="03211B90" w14:textId="77777777" w:rsidR="00D77B67" w:rsidRPr="00D77B67" w:rsidRDefault="00D77B67" w:rsidP="00D77B67">
      <w:pPr>
        <w:pStyle w:val="BodyTextL25"/>
      </w:pPr>
    </w:p>
    <w:p w14:paraId="62243EEB" w14:textId="77777777" w:rsidR="002A7FAB" w:rsidRPr="00BB73FF" w:rsidRDefault="002A7FAB" w:rsidP="002A7FAB">
      <w:pPr>
        <w:pStyle w:val="1"/>
      </w:pPr>
      <w:r>
        <w:t>Таблица адресации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2025"/>
        <w:gridCol w:w="2026"/>
        <w:gridCol w:w="2026"/>
        <w:gridCol w:w="2026"/>
        <w:gridCol w:w="2026"/>
      </w:tblGrid>
      <w:tr w:rsidR="002A7FAB" w14:paraId="147E512A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8E9A49" w14:textId="77777777" w:rsidR="002A7FAB" w:rsidRPr="00E87D62" w:rsidRDefault="002A7FAB" w:rsidP="00D50C2A">
            <w:pPr>
              <w:pStyle w:val="TableHeading"/>
            </w:pPr>
            <w:r>
              <w:t>Устройство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C19EFD" w14:textId="77777777" w:rsidR="002A7FAB" w:rsidRPr="00E87D62" w:rsidRDefault="002A7FAB" w:rsidP="00D50C2A">
            <w:pPr>
              <w:pStyle w:val="TableHeading"/>
            </w:pPr>
            <w:r>
              <w:t>Интерфейс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D19CB" w14:textId="77777777" w:rsidR="002A7FAB" w:rsidRPr="00E87D62" w:rsidRDefault="002A7FAB" w:rsidP="00D50C2A">
            <w:pPr>
              <w:pStyle w:val="TableHeading"/>
            </w:pPr>
            <w:r>
              <w:t>IPv4-адрес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D337F8" w14:textId="77777777" w:rsidR="002A7FAB" w:rsidRPr="00E87D62" w:rsidRDefault="002A7FAB" w:rsidP="00D50C2A">
            <w:pPr>
              <w:pStyle w:val="TableHeading"/>
            </w:pPr>
            <w:r>
              <w:t>Маска подсети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16F9EA" w14:textId="77777777" w:rsidR="002A7FAB" w:rsidRPr="00E87D62" w:rsidRDefault="002A7FAB" w:rsidP="00D50C2A">
            <w:pPr>
              <w:pStyle w:val="TableHeading"/>
            </w:pPr>
            <w:r>
              <w:t>Шлюз по умолчанию</w:t>
            </w:r>
          </w:p>
        </w:tc>
      </w:tr>
      <w:tr w:rsidR="002A7FAB" w:rsidRPr="001C48F1" w14:paraId="55E4962A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4CFC72DA" w14:textId="77777777" w:rsidR="002A7FAB" w:rsidRPr="001C48F1" w:rsidRDefault="002A7FAB" w:rsidP="00D50C2A">
            <w:pPr>
              <w:pStyle w:val="TableText"/>
            </w:pPr>
            <w:r>
              <w:t>R1</w:t>
            </w:r>
          </w:p>
        </w:tc>
        <w:tc>
          <w:tcPr>
            <w:tcW w:w="2026" w:type="dxa"/>
            <w:vAlign w:val="bottom"/>
          </w:tcPr>
          <w:p w14:paraId="0BCEF0B0" w14:textId="77777777" w:rsidR="002A7FAB" w:rsidRPr="001C48F1" w:rsidRDefault="002A7FAB" w:rsidP="00D50C2A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1CF43B19" w14:textId="77777777" w:rsidR="002A7FAB" w:rsidRPr="001C48F1" w:rsidRDefault="002A7FAB" w:rsidP="00D50C2A">
            <w:pPr>
              <w:pStyle w:val="TableText"/>
            </w:pPr>
            <w:r>
              <w:t>192.168.10.1</w:t>
            </w:r>
          </w:p>
        </w:tc>
        <w:tc>
          <w:tcPr>
            <w:tcW w:w="2026" w:type="dxa"/>
            <w:vAlign w:val="bottom"/>
          </w:tcPr>
          <w:p w14:paraId="608BF988" w14:textId="77777777" w:rsidR="002A7FAB" w:rsidRPr="001C48F1" w:rsidRDefault="002A7FAB" w:rsidP="00D50C2A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74F0D33C" w14:textId="77777777" w:rsidR="002A7FAB" w:rsidRPr="001C48F1" w:rsidRDefault="002A7FAB" w:rsidP="00D50C2A">
            <w:pPr>
              <w:pStyle w:val="TableText"/>
            </w:pPr>
            <w:r>
              <w:t>—</w:t>
            </w:r>
          </w:p>
        </w:tc>
      </w:tr>
      <w:tr w:rsidR="00BF1576" w:rsidRPr="001C48F1" w14:paraId="2490C992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3D619C5B" w14:textId="6099BF2D" w:rsidR="00BF1576" w:rsidRPr="001C48F1" w:rsidRDefault="00BF1576" w:rsidP="00BF1576">
            <w:pPr>
              <w:pStyle w:val="ConfigWindow"/>
            </w:pPr>
            <w:r>
              <w:t>R1</w:t>
            </w:r>
          </w:p>
        </w:tc>
        <w:tc>
          <w:tcPr>
            <w:tcW w:w="2026" w:type="dxa"/>
            <w:vAlign w:val="bottom"/>
          </w:tcPr>
          <w:p w14:paraId="64B81364" w14:textId="77777777" w:rsidR="00BF1576" w:rsidRPr="001C48F1" w:rsidRDefault="00BF1576" w:rsidP="00BF1576">
            <w:pPr>
              <w:pStyle w:val="TableText"/>
            </w:pPr>
            <w:r>
              <w:t>S0/0/0</w:t>
            </w:r>
          </w:p>
        </w:tc>
        <w:tc>
          <w:tcPr>
            <w:tcW w:w="2026" w:type="dxa"/>
            <w:vAlign w:val="bottom"/>
          </w:tcPr>
          <w:p w14:paraId="04CCD659" w14:textId="77777777" w:rsidR="00BF1576" w:rsidRPr="001C48F1" w:rsidRDefault="00BF1576" w:rsidP="00BF1576">
            <w:pPr>
              <w:pStyle w:val="TableText"/>
            </w:pPr>
            <w:r>
              <w:t>10.1.1.1</w:t>
            </w:r>
          </w:p>
        </w:tc>
        <w:tc>
          <w:tcPr>
            <w:tcW w:w="2026" w:type="dxa"/>
            <w:vAlign w:val="bottom"/>
          </w:tcPr>
          <w:p w14:paraId="4147C0D7" w14:textId="77777777" w:rsidR="00BF1576" w:rsidRPr="001C48F1" w:rsidRDefault="00BF1576" w:rsidP="00BF1576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tcBorders>
              <w:top w:val="nil"/>
              <w:bottom w:val="single" w:sz="2" w:space="0" w:color="auto"/>
            </w:tcBorders>
            <w:vAlign w:val="bottom"/>
          </w:tcPr>
          <w:p w14:paraId="78BDCDE5" w14:textId="77777777" w:rsidR="00BF1576" w:rsidRPr="001C48F1" w:rsidRDefault="00BF1576" w:rsidP="00E75566">
            <w:pPr>
              <w:pStyle w:val="ConfigWindow"/>
            </w:pPr>
            <w:r>
              <w:t>—</w:t>
            </w:r>
          </w:p>
        </w:tc>
      </w:tr>
      <w:tr w:rsidR="00BF1576" w:rsidRPr="001C48F1" w14:paraId="3AFD9A69" w14:textId="77777777" w:rsidTr="00E75566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191B7C9" w14:textId="77777777" w:rsidR="00BF1576" w:rsidRPr="001C48F1" w:rsidRDefault="00BF1576" w:rsidP="00BF1576">
            <w:pPr>
              <w:pStyle w:val="TableText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2E447A61" w14:textId="77777777" w:rsidR="00BF1576" w:rsidRPr="001C48F1" w:rsidRDefault="00BF1576" w:rsidP="00BF1576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1417A558" w14:textId="77777777" w:rsidR="00BF1576" w:rsidRPr="001C48F1" w:rsidRDefault="00BF1576" w:rsidP="00BF1576">
            <w:pPr>
              <w:pStyle w:val="TableText"/>
            </w:pPr>
            <w:r>
              <w:t>192.168.20.1</w:t>
            </w:r>
          </w:p>
        </w:tc>
        <w:tc>
          <w:tcPr>
            <w:tcW w:w="2026" w:type="dxa"/>
            <w:vAlign w:val="bottom"/>
          </w:tcPr>
          <w:p w14:paraId="6A2EED18" w14:textId="77777777" w:rsidR="00BF1576" w:rsidRPr="001C48F1" w:rsidRDefault="00BF1576" w:rsidP="00BF1576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254AA08A" w14:textId="77777777" w:rsidR="00BF1576" w:rsidRPr="001C48F1" w:rsidRDefault="00BF1576" w:rsidP="00BF1576">
            <w:pPr>
              <w:pStyle w:val="TableText"/>
            </w:pPr>
            <w:r>
              <w:t>—</w:t>
            </w:r>
          </w:p>
        </w:tc>
      </w:tr>
      <w:tr w:rsidR="00BF1576" w:rsidRPr="001C48F1" w14:paraId="31C9A36C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2E19848A" w14:textId="271A09D0" w:rsidR="00BF1576" w:rsidRPr="001C48F1" w:rsidRDefault="00BF1576" w:rsidP="00BF1576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23FE662B" w14:textId="77777777" w:rsidR="00BF1576" w:rsidRPr="001C48F1" w:rsidRDefault="00BF1576" w:rsidP="00BF1576">
            <w:pPr>
              <w:pStyle w:val="TableText"/>
            </w:pPr>
            <w:r>
              <w:t>G0/1</w:t>
            </w:r>
          </w:p>
        </w:tc>
        <w:tc>
          <w:tcPr>
            <w:tcW w:w="2026" w:type="dxa"/>
            <w:vAlign w:val="bottom"/>
          </w:tcPr>
          <w:p w14:paraId="71A256C3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7BE75A31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tcBorders>
              <w:top w:val="nil"/>
              <w:bottom w:val="nil"/>
            </w:tcBorders>
            <w:vAlign w:val="bottom"/>
          </w:tcPr>
          <w:p w14:paraId="757C049B" w14:textId="77777777" w:rsidR="00BF1576" w:rsidRPr="001C48F1" w:rsidRDefault="00BF1576" w:rsidP="00E75566">
            <w:pPr>
              <w:pStyle w:val="ConfigWindow"/>
            </w:pPr>
            <w:r>
              <w:t>—</w:t>
            </w:r>
          </w:p>
        </w:tc>
      </w:tr>
      <w:tr w:rsidR="00BF1576" w:rsidRPr="001C48F1" w14:paraId="14C5AF2A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1F8F3C7B" w14:textId="2CF74A1A" w:rsidR="00BF1576" w:rsidRPr="001C48F1" w:rsidRDefault="00BF1576" w:rsidP="00BF1576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550FF0C8" w14:textId="77777777" w:rsidR="00BF1576" w:rsidRPr="001C48F1" w:rsidRDefault="00BF1576" w:rsidP="00BF1576">
            <w:pPr>
              <w:pStyle w:val="TableText"/>
            </w:pPr>
            <w:r>
              <w:t>S0/0/0</w:t>
            </w:r>
          </w:p>
        </w:tc>
        <w:tc>
          <w:tcPr>
            <w:tcW w:w="2026" w:type="dxa"/>
            <w:vAlign w:val="bottom"/>
          </w:tcPr>
          <w:p w14:paraId="5F95080A" w14:textId="77777777" w:rsidR="00BF1576" w:rsidRPr="001C48F1" w:rsidRDefault="00BF1576" w:rsidP="00BF1576">
            <w:pPr>
              <w:pStyle w:val="TableText"/>
            </w:pPr>
            <w:r>
              <w:t>10.1.1.2</w:t>
            </w:r>
          </w:p>
        </w:tc>
        <w:tc>
          <w:tcPr>
            <w:tcW w:w="2026" w:type="dxa"/>
            <w:vAlign w:val="bottom"/>
          </w:tcPr>
          <w:p w14:paraId="73624A3C" w14:textId="77777777" w:rsidR="00BF1576" w:rsidRPr="001C48F1" w:rsidRDefault="00BF1576" w:rsidP="00BF1576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tcBorders>
              <w:top w:val="nil"/>
              <w:bottom w:val="nil"/>
            </w:tcBorders>
            <w:vAlign w:val="bottom"/>
          </w:tcPr>
          <w:p w14:paraId="1CC6E180" w14:textId="77777777" w:rsidR="00BF1576" w:rsidRPr="001C48F1" w:rsidRDefault="00BF1576" w:rsidP="00E75566">
            <w:pPr>
              <w:pStyle w:val="ConfigWindow"/>
            </w:pPr>
            <w:r>
              <w:t>—</w:t>
            </w:r>
          </w:p>
        </w:tc>
      </w:tr>
      <w:tr w:rsidR="00BF1576" w:rsidRPr="001C48F1" w14:paraId="70FB204C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7EDD928E" w14:textId="25E2A39C" w:rsidR="00BF1576" w:rsidRPr="001C48F1" w:rsidRDefault="00BF1576" w:rsidP="00BF1576">
            <w:pPr>
              <w:pStyle w:val="ConfigWindow"/>
            </w:pPr>
            <w:r>
              <w:t>R2</w:t>
            </w:r>
          </w:p>
        </w:tc>
        <w:tc>
          <w:tcPr>
            <w:tcW w:w="2026" w:type="dxa"/>
            <w:vAlign w:val="bottom"/>
          </w:tcPr>
          <w:p w14:paraId="154C498D" w14:textId="77777777" w:rsidR="00BF1576" w:rsidRPr="001C48F1" w:rsidRDefault="00BF1576" w:rsidP="00BF1576">
            <w:pPr>
              <w:pStyle w:val="TableText"/>
            </w:pPr>
            <w:r>
              <w:t>S0/0/1</w:t>
            </w:r>
          </w:p>
        </w:tc>
        <w:tc>
          <w:tcPr>
            <w:tcW w:w="2026" w:type="dxa"/>
            <w:vAlign w:val="bottom"/>
          </w:tcPr>
          <w:p w14:paraId="2AAE525B" w14:textId="77777777" w:rsidR="00BF1576" w:rsidRPr="001C48F1" w:rsidRDefault="00BF1576" w:rsidP="00BF1576">
            <w:pPr>
              <w:pStyle w:val="TableText"/>
            </w:pPr>
            <w:r>
              <w:t>10.2.2.2</w:t>
            </w:r>
          </w:p>
        </w:tc>
        <w:tc>
          <w:tcPr>
            <w:tcW w:w="2026" w:type="dxa"/>
            <w:vAlign w:val="bottom"/>
          </w:tcPr>
          <w:p w14:paraId="7C9A465F" w14:textId="77777777" w:rsidR="00BF1576" w:rsidRPr="001C48F1" w:rsidRDefault="00BF1576" w:rsidP="00BF1576">
            <w:pPr>
              <w:pStyle w:val="TableText"/>
            </w:pPr>
            <w:r>
              <w:t>255.255.255.252</w:t>
            </w:r>
          </w:p>
        </w:tc>
        <w:tc>
          <w:tcPr>
            <w:tcW w:w="2026" w:type="dxa"/>
            <w:tcBorders>
              <w:top w:val="nil"/>
              <w:bottom w:val="single" w:sz="2" w:space="0" w:color="auto"/>
            </w:tcBorders>
            <w:vAlign w:val="bottom"/>
          </w:tcPr>
          <w:p w14:paraId="458A9822" w14:textId="77777777" w:rsidR="00BF1576" w:rsidRPr="001C48F1" w:rsidRDefault="00BF1576" w:rsidP="00E75566">
            <w:pPr>
              <w:pStyle w:val="ConfigWindow"/>
            </w:pPr>
            <w:r>
              <w:t>—</w:t>
            </w:r>
          </w:p>
        </w:tc>
      </w:tr>
      <w:tr w:rsidR="00BF1576" w:rsidRPr="001C48F1" w14:paraId="57F1E195" w14:textId="77777777" w:rsidTr="00E75566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D12FC8B" w14:textId="77777777" w:rsidR="00BF1576" w:rsidRPr="001C48F1" w:rsidRDefault="00BF1576" w:rsidP="00BF1576">
            <w:pPr>
              <w:pStyle w:val="TableText"/>
            </w:pPr>
            <w:r>
              <w:t>R3</w:t>
            </w:r>
          </w:p>
        </w:tc>
        <w:tc>
          <w:tcPr>
            <w:tcW w:w="2026" w:type="dxa"/>
            <w:vAlign w:val="bottom"/>
          </w:tcPr>
          <w:p w14:paraId="0C6F40EF" w14:textId="77777777" w:rsidR="00BF1576" w:rsidRPr="001C48F1" w:rsidRDefault="00BF1576" w:rsidP="00BF1576">
            <w:pPr>
              <w:pStyle w:val="TableText"/>
            </w:pPr>
            <w:r>
              <w:t>G0/0</w:t>
            </w:r>
          </w:p>
        </w:tc>
        <w:tc>
          <w:tcPr>
            <w:tcW w:w="2026" w:type="dxa"/>
            <w:vAlign w:val="bottom"/>
          </w:tcPr>
          <w:p w14:paraId="231ABB9C" w14:textId="77777777" w:rsidR="00BF1576" w:rsidRPr="001C48F1" w:rsidRDefault="00BF1576" w:rsidP="00BF1576">
            <w:pPr>
              <w:pStyle w:val="TableText"/>
            </w:pPr>
            <w:r>
              <w:t>192.168.30.1</w:t>
            </w:r>
          </w:p>
        </w:tc>
        <w:tc>
          <w:tcPr>
            <w:tcW w:w="2026" w:type="dxa"/>
            <w:vAlign w:val="bottom"/>
          </w:tcPr>
          <w:p w14:paraId="539C1EA5" w14:textId="77777777" w:rsidR="00BF1576" w:rsidRPr="001C48F1" w:rsidRDefault="00BF1576" w:rsidP="00BF1576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27508B04" w14:textId="77777777" w:rsidR="00BF1576" w:rsidRPr="001C48F1" w:rsidRDefault="00BF1576" w:rsidP="00BF1576">
            <w:pPr>
              <w:pStyle w:val="TableText"/>
            </w:pPr>
            <w:r>
              <w:t>—</w:t>
            </w:r>
          </w:p>
        </w:tc>
      </w:tr>
      <w:tr w:rsidR="00BF1576" w:rsidRPr="001C48F1" w14:paraId="4BD29F59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</w:tcBorders>
            <w:vAlign w:val="bottom"/>
          </w:tcPr>
          <w:p w14:paraId="7567F5C1" w14:textId="27E8DFC6" w:rsidR="00BF1576" w:rsidRPr="001C48F1" w:rsidRDefault="00BF1576" w:rsidP="00BF1576">
            <w:pPr>
              <w:pStyle w:val="ConfigWindow"/>
            </w:pPr>
            <w:r>
              <w:t>R3</w:t>
            </w:r>
          </w:p>
        </w:tc>
        <w:tc>
          <w:tcPr>
            <w:tcW w:w="2026" w:type="dxa"/>
            <w:vAlign w:val="bottom"/>
          </w:tcPr>
          <w:p w14:paraId="304BEB25" w14:textId="77777777" w:rsidR="00BF1576" w:rsidRPr="001C48F1" w:rsidRDefault="00BF1576" w:rsidP="00BF1576">
            <w:pPr>
              <w:pStyle w:val="TableText"/>
            </w:pPr>
            <w:r>
              <w:t>S0/0/1</w:t>
            </w:r>
          </w:p>
        </w:tc>
        <w:tc>
          <w:tcPr>
            <w:tcW w:w="2026" w:type="dxa"/>
            <w:vAlign w:val="bottom"/>
          </w:tcPr>
          <w:p w14:paraId="6B88B1FF" w14:textId="77777777" w:rsidR="00BF1576" w:rsidRPr="001C48F1" w:rsidRDefault="00BF1576" w:rsidP="00BF1576">
            <w:pPr>
              <w:pStyle w:val="TableText"/>
            </w:pPr>
            <w:r>
              <w:t>10.2.2.1</w:t>
            </w:r>
          </w:p>
        </w:tc>
        <w:tc>
          <w:tcPr>
            <w:tcW w:w="2026" w:type="dxa"/>
            <w:vAlign w:val="bottom"/>
          </w:tcPr>
          <w:p w14:paraId="76216F61" w14:textId="77777777" w:rsidR="00BF1576" w:rsidRPr="001C48F1" w:rsidRDefault="00BF1576" w:rsidP="00BF1576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tcBorders>
              <w:top w:val="nil"/>
            </w:tcBorders>
            <w:vAlign w:val="bottom"/>
          </w:tcPr>
          <w:p w14:paraId="7BBAE43B" w14:textId="77777777" w:rsidR="00BF1576" w:rsidRPr="001C48F1" w:rsidRDefault="00BF1576" w:rsidP="00E75566">
            <w:pPr>
              <w:pStyle w:val="ConfigWindow"/>
            </w:pPr>
            <w:r>
              <w:t>—</w:t>
            </w:r>
          </w:p>
        </w:tc>
      </w:tr>
      <w:tr w:rsidR="00BF1576" w:rsidRPr="001C48F1" w14:paraId="2BEACEA2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6A37F32B" w14:textId="77777777" w:rsidR="00BF1576" w:rsidRPr="001C48F1" w:rsidRDefault="00BF1576" w:rsidP="00BF1576">
            <w:pPr>
              <w:pStyle w:val="TableText"/>
            </w:pPr>
            <w:r>
              <w:t>PC1</w:t>
            </w:r>
          </w:p>
        </w:tc>
        <w:tc>
          <w:tcPr>
            <w:tcW w:w="2026" w:type="dxa"/>
            <w:vAlign w:val="bottom"/>
          </w:tcPr>
          <w:p w14:paraId="7F78B0A7" w14:textId="77777777" w:rsidR="00BF1576" w:rsidRPr="001C48F1" w:rsidRDefault="00BF1576" w:rsidP="00BF1576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541DF66B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1C835B89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765B697D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</w:tr>
      <w:tr w:rsidR="00BF1576" w:rsidRPr="001C48F1" w14:paraId="6D0C0F4D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6A05D7D1" w14:textId="77777777" w:rsidR="00BF1576" w:rsidRPr="001C48F1" w:rsidRDefault="00BF1576" w:rsidP="00BF1576">
            <w:pPr>
              <w:pStyle w:val="TableText"/>
            </w:pPr>
            <w:r>
              <w:t>PC2</w:t>
            </w:r>
          </w:p>
        </w:tc>
        <w:tc>
          <w:tcPr>
            <w:tcW w:w="2026" w:type="dxa"/>
            <w:vAlign w:val="bottom"/>
          </w:tcPr>
          <w:p w14:paraId="7D356B40" w14:textId="77777777" w:rsidR="00BF1576" w:rsidRPr="001C48F1" w:rsidRDefault="00BF1576" w:rsidP="00BF1576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05607FE6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62174197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  <w:tc>
          <w:tcPr>
            <w:tcW w:w="2026" w:type="dxa"/>
            <w:vAlign w:val="bottom"/>
          </w:tcPr>
          <w:p w14:paraId="313C300C" w14:textId="77777777" w:rsidR="00BF1576" w:rsidRPr="001C48F1" w:rsidRDefault="00BF1576" w:rsidP="00BF1576">
            <w:pPr>
              <w:pStyle w:val="TableText"/>
            </w:pPr>
            <w:r>
              <w:t>Назначенный DHCP</w:t>
            </w:r>
          </w:p>
        </w:tc>
      </w:tr>
      <w:tr w:rsidR="00BF1576" w:rsidRPr="001C48F1" w14:paraId="60C74030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02B4001A" w14:textId="77777777" w:rsidR="00BF1576" w:rsidRPr="001C48F1" w:rsidRDefault="00BF1576" w:rsidP="00BF1576">
            <w:pPr>
              <w:pStyle w:val="TableText"/>
            </w:pPr>
            <w:r>
              <w:t>DNS Server</w:t>
            </w:r>
          </w:p>
        </w:tc>
        <w:tc>
          <w:tcPr>
            <w:tcW w:w="2026" w:type="dxa"/>
            <w:vAlign w:val="bottom"/>
          </w:tcPr>
          <w:p w14:paraId="4E749420" w14:textId="77777777" w:rsidR="00BF1576" w:rsidRPr="001C48F1" w:rsidRDefault="00BF1576" w:rsidP="00BF1576">
            <w:pPr>
              <w:pStyle w:val="TableText"/>
            </w:pPr>
            <w:r>
              <w:t>NIC</w:t>
            </w:r>
          </w:p>
        </w:tc>
        <w:tc>
          <w:tcPr>
            <w:tcW w:w="2026" w:type="dxa"/>
            <w:vAlign w:val="bottom"/>
          </w:tcPr>
          <w:p w14:paraId="69636FAF" w14:textId="77777777" w:rsidR="00BF1576" w:rsidRPr="001C48F1" w:rsidRDefault="00BF1576" w:rsidP="00BF1576">
            <w:pPr>
              <w:pStyle w:val="TableText"/>
            </w:pPr>
            <w:r>
              <w:t>192.168.20.254</w:t>
            </w:r>
          </w:p>
        </w:tc>
        <w:tc>
          <w:tcPr>
            <w:tcW w:w="2026" w:type="dxa"/>
            <w:vAlign w:val="bottom"/>
          </w:tcPr>
          <w:p w14:paraId="26C0782C" w14:textId="77777777" w:rsidR="00BF1576" w:rsidRPr="001C48F1" w:rsidRDefault="00BF1576" w:rsidP="00BF1576">
            <w:pPr>
              <w:pStyle w:val="TableText"/>
            </w:pPr>
            <w:r>
              <w:t>255.255.255.0</w:t>
            </w:r>
          </w:p>
        </w:tc>
        <w:tc>
          <w:tcPr>
            <w:tcW w:w="2026" w:type="dxa"/>
            <w:vAlign w:val="bottom"/>
          </w:tcPr>
          <w:p w14:paraId="40CF0388" w14:textId="77777777" w:rsidR="00BF1576" w:rsidRPr="001C48F1" w:rsidRDefault="00BF1576" w:rsidP="00BF1576">
            <w:pPr>
              <w:pStyle w:val="TableText"/>
            </w:pPr>
            <w:r>
              <w:t>192.168.20.1</w:t>
            </w:r>
          </w:p>
        </w:tc>
      </w:tr>
    </w:tbl>
    <w:p w14:paraId="56F64BBA" w14:textId="77777777" w:rsidR="002A7FAB" w:rsidRPr="00BB73FF" w:rsidRDefault="002A7FAB" w:rsidP="002A7FAB">
      <w:pPr>
        <w:pStyle w:val="1"/>
      </w:pPr>
      <w:r>
        <w:t>Задачи</w:t>
      </w:r>
    </w:p>
    <w:p w14:paraId="41C3F3B0" w14:textId="77777777" w:rsidR="002A7FAB" w:rsidRPr="004C0909" w:rsidRDefault="002A7FAB" w:rsidP="002A7FAB">
      <w:pPr>
        <w:pStyle w:val="BodyTextL25Bold"/>
      </w:pPr>
      <w:r>
        <w:t>Часть 1. Настройка маршрутизатора в роли DHCP-сервера</w:t>
      </w:r>
    </w:p>
    <w:p w14:paraId="15688DF8" w14:textId="77777777" w:rsidR="002A7FAB" w:rsidRPr="004C0909" w:rsidRDefault="002A7FAB" w:rsidP="002A7FAB">
      <w:pPr>
        <w:pStyle w:val="BodyTextL25Bold"/>
      </w:pPr>
      <w:r>
        <w:t>Часть 2. Настройка ретрансляции DHCP</w:t>
      </w:r>
    </w:p>
    <w:p w14:paraId="671B0D34" w14:textId="77777777" w:rsidR="002A7FAB" w:rsidRPr="004C0909" w:rsidRDefault="002A7FAB" w:rsidP="002A7FAB">
      <w:pPr>
        <w:pStyle w:val="BodyTextL25Bold"/>
      </w:pPr>
      <w:r>
        <w:t>Часть 3. Настройка маршрутизатора в роли DHCP-клиента</w:t>
      </w:r>
    </w:p>
    <w:p w14:paraId="13D660E1" w14:textId="77777777" w:rsidR="002A7FAB" w:rsidRPr="00C07FD9" w:rsidRDefault="002A7FAB" w:rsidP="002A7FAB">
      <w:pPr>
        <w:pStyle w:val="1"/>
      </w:pPr>
      <w:r>
        <w:t>Сценарий</w:t>
      </w:r>
    </w:p>
    <w:p w14:paraId="224F5B2D" w14:textId="77777777" w:rsidR="002A7FAB" w:rsidRDefault="002A7FAB" w:rsidP="002A7FAB">
      <w:pPr>
        <w:pStyle w:val="BodyTextL25"/>
      </w:pPr>
      <w:r>
        <w:t>Как специалисту по обслуживанию сетей, вам необходимо настроить маршрутизатор Cisco в качестве сервера DHCP, чтобы обеспечить динамическое распределение адресов для клиентов внутри сети. Также необходимо настроить пограничный маршрутизатор в качестве DHCP-клиента таким образом, чтобы он получал IP-адрес от сети интернет-провайдера. Поскольку сервер централизован, необходимо настроить два маршрутизатора LAN для ретрансляции DHCP-трафика между локальными сетями и маршрутизатором, который выступает в качестве DHCP-сервера.</w:t>
      </w:r>
    </w:p>
    <w:p w14:paraId="122BC8C4" w14:textId="78BD4300" w:rsidR="00BF1576" w:rsidRDefault="00BF1576" w:rsidP="00BF1576">
      <w:pPr>
        <w:pStyle w:val="1"/>
      </w:pPr>
      <w:r>
        <w:lastRenderedPageBreak/>
        <w:t>Инструкции</w:t>
      </w:r>
    </w:p>
    <w:p w14:paraId="5969931B" w14:textId="727BCB1B" w:rsidR="002A7FAB" w:rsidRDefault="002A7FAB" w:rsidP="002A7FAB">
      <w:pPr>
        <w:pStyle w:val="2"/>
      </w:pPr>
      <w:r>
        <w:t>Настройка маршрутизатора в роли DHCP-сервера</w:t>
      </w:r>
    </w:p>
    <w:p w14:paraId="423D50C5" w14:textId="77777777" w:rsidR="002A7FAB" w:rsidRDefault="002A7FAB" w:rsidP="002A7FAB">
      <w:pPr>
        <w:pStyle w:val="3"/>
      </w:pPr>
      <w:r>
        <w:t>Исключите зарезервированные IPv4-адреса из пула DHCP.</w:t>
      </w:r>
    </w:p>
    <w:p w14:paraId="455066DD" w14:textId="77777777" w:rsidR="002A7FAB" w:rsidRDefault="002A7FAB" w:rsidP="002A7FAB">
      <w:pPr>
        <w:pStyle w:val="BodyTextL25"/>
      </w:pPr>
      <w:r>
        <w:t xml:space="preserve">Настройте маршрутизатор </w:t>
      </w:r>
      <w:r w:rsidRPr="001C48F1">
        <w:rPr>
          <w:b/>
        </w:rPr>
        <w:t>R2</w:t>
      </w:r>
      <w:r>
        <w:t xml:space="preserve"> таким образом, чтобы исключить первые 10 адресов из локальных сетей маршрутизаторов R1 и R3. Все другие адреса должны быть доступны в пуле адресов DHCP.</w:t>
      </w:r>
    </w:p>
    <w:p w14:paraId="38870932" w14:textId="77777777" w:rsidR="002A7FAB" w:rsidRDefault="002A7FAB" w:rsidP="002A7FAB">
      <w:pPr>
        <w:pStyle w:val="3"/>
      </w:pPr>
      <w:r>
        <w:t>На маршрутизаторе R2 создайте пул DHCP для локальной сети маршрутизатора R1.</w:t>
      </w:r>
    </w:p>
    <w:p w14:paraId="2F78A5FF" w14:textId="77777777" w:rsidR="002A7FAB" w:rsidRDefault="002A7FAB" w:rsidP="00BF1576">
      <w:pPr>
        <w:pStyle w:val="SubStepAlpha"/>
      </w:pPr>
      <w:r>
        <w:t xml:space="preserve">Создайте пул DHCP под названием </w:t>
      </w:r>
      <w:r w:rsidRPr="00BF1576">
        <w:rPr>
          <w:b/>
        </w:rPr>
        <w:t>R1-LAN</w:t>
      </w:r>
      <w:r>
        <w:t xml:space="preserve"> (с учетом регистра). Имя пула должно совпадать с этим значением, чтобы получить оценку для вашей конфигурации.</w:t>
      </w:r>
    </w:p>
    <w:p w14:paraId="4284F184" w14:textId="77777777" w:rsidR="002A7FAB" w:rsidRDefault="002A7FAB" w:rsidP="00BF1576">
      <w:pPr>
        <w:pStyle w:val="SubStepAlpha"/>
      </w:pPr>
      <w:r>
        <w:t>Настройте пул DHCP с учетом сетевого адреса, шлюза по умолчанию и IP-адреса сервера DNS.</w:t>
      </w:r>
    </w:p>
    <w:p w14:paraId="0132328B" w14:textId="77777777" w:rsidR="002A7FAB" w:rsidRDefault="002A7FAB" w:rsidP="002A7FAB">
      <w:pPr>
        <w:pStyle w:val="3"/>
      </w:pPr>
      <w:r>
        <w:t>На маршрутизаторе R2 создайте пул DHCP для локальной сети маршрутизатора R3.</w:t>
      </w:r>
    </w:p>
    <w:p w14:paraId="7DC9ACF3" w14:textId="77777777" w:rsidR="002A7FAB" w:rsidRDefault="002A7FAB" w:rsidP="00BF1576">
      <w:pPr>
        <w:pStyle w:val="SubStepAlpha"/>
      </w:pPr>
      <w:r>
        <w:t xml:space="preserve">Создайте пул DHCP под названием </w:t>
      </w:r>
      <w:r w:rsidRPr="00BF1576">
        <w:rPr>
          <w:b/>
        </w:rPr>
        <w:t>R3-LAN</w:t>
      </w:r>
      <w:r>
        <w:t xml:space="preserve"> (с чувствительным регистром).</w:t>
      </w:r>
    </w:p>
    <w:p w14:paraId="3CFCD7CC" w14:textId="77777777" w:rsidR="002A7FAB" w:rsidRDefault="002A7FAB" w:rsidP="00BF1576">
      <w:pPr>
        <w:pStyle w:val="SubStepAlpha"/>
      </w:pPr>
      <w:r>
        <w:t>Настройте пул DHCP с учетом сетевого адреса, шлюза по умолчанию и IP-адреса сервера DNS.</w:t>
      </w:r>
    </w:p>
    <w:p w14:paraId="4AEF7351" w14:textId="77777777" w:rsidR="002A7FAB" w:rsidRDefault="002A7FAB" w:rsidP="002A7FAB">
      <w:pPr>
        <w:pStyle w:val="2"/>
      </w:pPr>
      <w:r>
        <w:t>Настройка DHCP-ретрансляции</w:t>
      </w:r>
    </w:p>
    <w:p w14:paraId="5F27CBD5" w14:textId="77777777" w:rsidR="002A7FAB" w:rsidRPr="00C97B2F" w:rsidRDefault="002A7FAB" w:rsidP="002A7FAB">
      <w:pPr>
        <w:pStyle w:val="3"/>
      </w:pPr>
      <w:r>
        <w:t>Настройте маршрутизаторы R1 и R3 в качестве агентов-ретрансляторов.</w:t>
      </w:r>
    </w:p>
    <w:p w14:paraId="14C38951" w14:textId="77777777" w:rsidR="002A7FAB" w:rsidRPr="002E4999" w:rsidRDefault="002A7FAB" w:rsidP="002A7FAB">
      <w:pPr>
        <w:pStyle w:val="3"/>
      </w:pPr>
      <w:r>
        <w:t>Настройте узлы PC1 и PC2 таким образом, чтобы они получали IP-адреса через DHCP.</w:t>
      </w:r>
    </w:p>
    <w:p w14:paraId="2C77A139" w14:textId="77777777" w:rsidR="002A7FAB" w:rsidRDefault="002A7FAB" w:rsidP="002A7FAB">
      <w:pPr>
        <w:pStyle w:val="2"/>
      </w:pPr>
      <w:r>
        <w:t>Настройте коммутатор S2 в качестве клиента DHCP.</w:t>
      </w:r>
    </w:p>
    <w:p w14:paraId="0470D569" w14:textId="77777777" w:rsidR="002A7FAB" w:rsidRDefault="002A7FAB" w:rsidP="002A7FAB">
      <w:pPr>
        <w:pStyle w:val="3"/>
      </w:pPr>
      <w:r>
        <w:t>Настройте интерфейс Gigabit Ethernet 0/1 на R2 для получения IP-адресации от DHCP.</w:t>
      </w:r>
    </w:p>
    <w:p w14:paraId="77B7DE7B" w14:textId="77777777" w:rsidR="002A7FAB" w:rsidRDefault="002A7FAB" w:rsidP="002A7FAB">
      <w:pPr>
        <w:pStyle w:val="3"/>
      </w:pPr>
      <w:r>
        <w:t>Активируйте интерфейс.</w:t>
      </w:r>
    </w:p>
    <w:sectPr w:rsidR="002A7FA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1E186" w14:textId="77777777" w:rsidR="000768A3" w:rsidRDefault="000768A3" w:rsidP="00710659">
      <w:pPr>
        <w:spacing w:after="0" w:line="240" w:lineRule="auto"/>
      </w:pPr>
      <w:r>
        <w:separator/>
      </w:r>
    </w:p>
    <w:p w14:paraId="6BD5BC27" w14:textId="77777777" w:rsidR="000768A3" w:rsidRDefault="000768A3"/>
  </w:endnote>
  <w:endnote w:type="continuationSeparator" w:id="0">
    <w:p w14:paraId="72843D06" w14:textId="77777777" w:rsidR="000768A3" w:rsidRDefault="000768A3" w:rsidP="00710659">
      <w:pPr>
        <w:spacing w:after="0" w:line="240" w:lineRule="auto"/>
      </w:pPr>
      <w:r>
        <w:continuationSeparator/>
      </w:r>
    </w:p>
    <w:p w14:paraId="56260A36" w14:textId="77777777" w:rsidR="000768A3" w:rsidRDefault="00076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E1BA" w14:textId="6B80A95E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7B67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A670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8917" w14:textId="2AD12E0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7B67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FA670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5A744" w14:textId="77777777" w:rsidR="000768A3" w:rsidRDefault="000768A3" w:rsidP="00710659">
      <w:pPr>
        <w:spacing w:after="0" w:line="240" w:lineRule="auto"/>
      </w:pPr>
      <w:r>
        <w:separator/>
      </w:r>
    </w:p>
    <w:p w14:paraId="156E916E" w14:textId="77777777" w:rsidR="000768A3" w:rsidRDefault="000768A3"/>
  </w:footnote>
  <w:footnote w:type="continuationSeparator" w:id="0">
    <w:p w14:paraId="6EEA56B5" w14:textId="77777777" w:rsidR="000768A3" w:rsidRDefault="000768A3" w:rsidP="00710659">
      <w:pPr>
        <w:spacing w:after="0" w:line="240" w:lineRule="auto"/>
      </w:pPr>
      <w:r>
        <w:continuationSeparator/>
      </w:r>
    </w:p>
    <w:p w14:paraId="2F0D5D95" w14:textId="77777777" w:rsidR="000768A3" w:rsidRDefault="000768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438A49381DA453699B750019DC31B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8825620" w14:textId="77777777" w:rsidR="00926CB2" w:rsidRDefault="002A7FAB" w:rsidP="008402F2">
        <w:pPr>
          <w:pStyle w:val="PageHead"/>
        </w:pPr>
        <w:r>
          <w:t>Packet Tracer - реализация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EDCC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74E9444" wp14:editId="2C9ACE3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9055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8A3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FA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6D6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E5D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1A4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8B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868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2A8"/>
    <w:rsid w:val="00996053"/>
    <w:rsid w:val="00997E71"/>
    <w:rsid w:val="009A0B2F"/>
    <w:rsid w:val="009A1CF4"/>
    <w:rsid w:val="009A37D7"/>
    <w:rsid w:val="009A4E17"/>
    <w:rsid w:val="009A6955"/>
    <w:rsid w:val="009B0697"/>
    <w:rsid w:val="009B13CA"/>
    <w:rsid w:val="009B341C"/>
    <w:rsid w:val="009B5747"/>
    <w:rsid w:val="009C0B81"/>
    <w:rsid w:val="009C3182"/>
    <w:rsid w:val="009D2C27"/>
    <w:rsid w:val="009D409E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6D0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576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B67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56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488"/>
    <w:rsid w:val="00FA3811"/>
    <w:rsid w:val="00FA3B9F"/>
    <w:rsid w:val="00FA3F06"/>
    <w:rsid w:val="00FA4A26"/>
    <w:rsid w:val="00FA6703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D7DB3"/>
  <w15:docId w15:val="{9F9705ED-96BB-4AE6-88BA-153027A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1576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376D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F15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a"/>
    <w:qFormat/>
    <w:rsid w:val="002A7FAB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38A49381DA453699B750019DC3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D0D6-494B-475D-804D-DC2742AFDF7D}"/>
      </w:docPartPr>
      <w:docPartBody>
        <w:p w:rsidR="008370D9" w:rsidRDefault="00B636E4">
          <w:pPr>
            <w:pStyle w:val="0438A49381DA453699B750019DC31BA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4"/>
    <w:rsid w:val="00623FEF"/>
    <w:rsid w:val="008370D9"/>
    <w:rsid w:val="00B636E4"/>
    <w:rsid w:val="00D83FFF"/>
    <w:rsid w:val="00F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38A49381DA453699B750019DC31BA4">
    <w:name w:val="0438A49381DA453699B750019DC31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B468BE-F7F0-458D-8BA5-7518D3E7DA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5F720A-3789-4116-975A-B47EA3CAA980}"/>
</file>

<file path=customXml/itemProps3.xml><?xml version="1.0" encoding="utf-8"?>
<ds:datastoreItem xmlns:ds="http://schemas.openxmlformats.org/officeDocument/2006/customXml" ds:itemID="{C9AFF1F6-3562-430E-81BE-347946EB830F}"/>
</file>

<file path=customXml/itemProps4.xml><?xml version="1.0" encoding="utf-8"?>
<ds:datastoreItem xmlns:ds="http://schemas.openxmlformats.org/officeDocument/2006/customXml" ds:itemID="{8E723ECC-2D70-479C-B512-19E215647B1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DHCPv4</vt:lpstr>
    </vt:vector>
  </TitlesOfParts>
  <Company>Cisco Systems, Inc.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реализация DHCPv4</dc:title>
  <dc:creator>SP</dc:creator>
  <dc:description>2013 г.</dc:description>
  <cp:lastModifiedBy>Носкова Ирина</cp:lastModifiedBy>
  <cp:revision>9</cp:revision>
  <cp:lastPrinted>2020-07-21T11:42:00Z</cp:lastPrinted>
  <dcterms:created xsi:type="dcterms:W3CDTF">2019-10-31T20:59:00Z</dcterms:created>
  <dcterms:modified xsi:type="dcterms:W3CDTF">2020-07-21T11:42:00Z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