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spacing w:after="240"/>
        <w:jc w:val="center"/>
      </w:pPr>
      <w:r>
        <w:rPr>
          <w:rFonts w:ascii="Times New Roman" w:hAnsi="Times New Roman"/>
          <w:b/>
          <w:sz w:val="24"/>
        </w:rPr>
        <w:t>Rafiq: A Design Case Study of a Configurable, Dialect-Aware AI Companion for the Socially Isolated</w:t>
      </w:r>
    </w:p>
    <w:p/>
    <w:p>
      <w:pPr>
        <w:jc w:val="center"/>
      </w:pPr>
      <w:r>
        <w:rPr>
          <w:rFonts w:ascii="Times New Roman" w:hAnsi="Times New Roman"/>
          <w:sz w:val="24"/>
        </w:rPr>
        <w:t>Mamdouh Aboammar</w:t>
      </w:r>
    </w:p>
    <w:p>
      <w:pPr>
        <w:jc w:val="center"/>
      </w:pPr>
      <w:r>
        <w:rPr>
          <w:rFonts w:ascii="Times New Roman" w:hAnsi="Times New Roman"/>
          <w:i/>
          <w:sz w:val="24"/>
        </w:rPr>
        <w:t>PrePilot Research</w:t>
      </w:r>
    </w:p>
    <w:p/>
    <w:p/>
    <w:p>
      <w:pPr>
        <w:jc w:val="center"/>
      </w:pPr>
      <w:r>
        <w:rPr>
          <w:rFonts w:ascii="Times New Roman" w:hAnsi="Times New Roman"/>
          <w:sz w:val="24"/>
        </w:rPr>
        <w:t>Artifact: Rafiq v1.0-v5.0 (development 2023-2026)</w:t>
      </w:r>
    </w:p>
    <w:p>
      <w:pPr>
        <w:jc w:val="center"/>
      </w:pPr>
      <w:r>
        <w:rPr>
          <w:rFonts w:ascii="Times New Roman" w:hAnsi="Times New Roman"/>
          <w:sz w:val="24"/>
        </w:rPr>
        <w:t>Repository: github.com/imMamdouhaboammar/Rafiq-Vercel</w:t>
      </w:r>
    </w:p>
    <w:p>
      <w:r>
        <w:br w:type="page"/>
      </w:r>
    </w:p>
    <w:p>
      <w:pPr>
        <w:jc w:val="center"/>
      </w:pPr>
      <w:r>
        <w:rPr>
          <w:rFonts w:ascii="Times New Roman" w:hAnsi="Times New Roman"/>
          <w:b/>
          <w:sz w:val="24"/>
        </w:rPr>
        <w:t>Abstract</w:t>
      </w:r>
    </w:p>
    <w:p>
      <w:pPr>
        <w:spacing w:line="480" w:lineRule="auto"/>
        <w:jc w:val="both"/>
      </w:pPr>
      <w:r>
        <w:rPr>
          <w:rFonts w:ascii="Times New Roman" w:hAnsi="Times New Roman"/>
          <w:sz w:val="24"/>
        </w:rPr>
        <w:t>Loneliness and social isolation have been formally reclassified by the World Health Organization and the U.S. Surgeon General as population-level public-health priorities, yet a specific sub-population — adults who experience chronic difficulty forming or sustaining human friendships — remains structurally underserved by existing AI-companion products. The dominant commercial paradigm ships single-prompt personalities tuned for English-speaking mass audiences and has been critiqued for shallow persona rendering, parasocial-facilitation patterns, well-being decrements under intensive use, and ethical hazards including sexual harassment, dependency, and emotional manipulation (Hoel &amp; Sandvik, 2025; Namvarpour et al., 2025). This paper presents *Rafiq*, an Arabic-speaking, dialect-aware AI companion that operationalizes a candidate design theory built on five interlocking components: a *Soul Engine* (a five-trait personality vector combined with a multi-dialect selector and a long-form identity kernel); a *persistent Psychological State Machine* with eight mutable fields preserved across sessions; a *WhatsApp-clone synthesis pipeline*; a *Multimodal Surface* (streaming text, image, voice, avatar, and video); and an embedded *Ethical Layer*. The artifact is documented as a constructive design-science case (Hevner et al., 2004; Peffers et al., 2007; Walls et al., 1992) embedded in autoethnographic reflection (Chang, 2008; Kaltenhauser et al., 2024; Neustaedter &amp; Sengers, 2012) and grounded in postphenomenological reframings of design as moral mediation (Suchman, 2007; Verbeek, 2005; Rosenberger, 2018). Three research questions structure the argument: (RQ1) what architectural decisions enable an AI companion to approximate the felt experience of being heard, (RQ2) how a configurable multi-trait + dialect-aware + persistent-state design compares against single-prompt companions, and (RQ3) what ethical obligations are operationalized inside the artifact itself. The contribution operates at four levels: as a documented, reproducible construct; as a candidate design theory in the Walls et al. (1992) sense; as a fourth persona-construction methodology alongside hand-authored prompts, trait questionnaires, and fine-tuned weights; and as five interlocking ethical design moves operationalized as architectural first-class concerns. The paper is bounded: no user study has been conducted; the dialect pack is Egyptian-first; the autoethnographic voice is the analyst-as-builder's. The contribution is the integration, not the benchmark.</w:t>
      </w:r>
    </w:p>
    <w:p>
      <w:pPr>
        <w:spacing w:before="240"/>
      </w:pPr>
      <w:r>
        <w:rPr>
          <w:rFonts w:ascii="Times New Roman" w:hAnsi="Times New Roman"/>
          <w:sz w:val="24"/>
        </w:rPr>
        <w:t>Keywords: AI companion; dialect-aware chatbot; configurable personality; persistent psychological state; Egyptian Arabic; design science research; autoethnography; loneliness intervention; parasocial interaction; human-AI attachment; AI ethics; soul engine</w:t>
      </w:r>
    </w:p>
    <w:p>
      <w:r>
        <w:br w:type="page"/>
      </w:r>
    </w:p>
    <w:p>
      <w:pPr>
        <w:jc w:val="center"/>
      </w:pPr>
      <w:r>
        <w:rPr>
          <w:rFonts w:ascii="Times New Roman" w:hAnsi="Times New Roman"/>
          <w:b/>
          <w:sz w:val="24"/>
        </w:rPr>
        <w:t>Table of Contents</w:t>
      </w:r>
    </w:p>
    <w:p/>
    <w:p>
      <w:r>
        <w:rPr>
          <w:rFonts w:ascii="Times New Roman" w:hAnsi="Times New Roman"/>
          <w:b/>
          <w:sz w:val="24"/>
        </w:rPr>
        <w:t>1. Introduction</w:t>
      </w:r>
    </w:p>
    <w:p>
      <w:r>
        <w:rPr>
          <w:rFonts w:ascii="Times New Roman" w:hAnsi="Times New Roman"/>
          <w:b/>
          <w:sz w:val="24"/>
        </w:rPr>
        <w:t>2. Literature Review</w:t>
      </w:r>
    </w:p>
    <w:p>
      <w:r>
        <w:rPr>
          <w:rFonts w:ascii="Times New Roman" w:hAnsi="Times New Roman"/>
          <w:b/>
          <w:sz w:val="24"/>
        </w:rPr>
        <w:t>3. Theoretical and Methodological Framework</w:t>
      </w:r>
    </w:p>
    <w:p>
      <w:r>
        <w:rPr>
          <w:rFonts w:ascii="Times New Roman" w:hAnsi="Times New Roman"/>
          <w:b/>
          <w:sz w:val="24"/>
        </w:rPr>
        <w:t>4. Methodology</w:t>
      </w:r>
    </w:p>
    <w:p>
      <w:r>
        <w:rPr>
          <w:rFonts w:ascii="Times New Roman" w:hAnsi="Times New Roman"/>
          <w:b/>
          <w:sz w:val="24"/>
        </w:rPr>
        <w:t>5. Results / Artifact Walk-Through</w:t>
      </w:r>
    </w:p>
    <w:p>
      <w:r>
        <w:rPr>
          <w:rFonts w:ascii="Times New Roman" w:hAnsi="Times New Roman"/>
          <w:b/>
          <w:sz w:val="24"/>
        </w:rPr>
        <w:t>6. Discussion</w:t>
      </w:r>
    </w:p>
    <w:p>
      <w:r>
        <w:rPr>
          <w:rFonts w:ascii="Times New Roman" w:hAnsi="Times New Roman"/>
          <w:b/>
          <w:sz w:val="24"/>
        </w:rPr>
        <w:t>7. Conclusion</w:t>
      </w:r>
    </w:p>
    <w:p>
      <w:r>
        <w:rPr>
          <w:rFonts w:ascii="Times New Roman" w:hAnsi="Times New Roman"/>
          <w:b/>
          <w:sz w:val="24"/>
        </w:rPr>
        <w:t>References</w:t>
      </w:r>
    </w:p>
    <w:p>
      <w:r>
        <w:rPr>
          <w:rFonts w:ascii="Times New Roman" w:hAnsi="Times New Roman"/>
          <w:sz w:val="24"/>
        </w:rPr>
        <w:t>Appendix A</w:t>
      </w:r>
    </w:p>
    <w:p>
      <w:r>
        <w:br w:type="page"/>
      </w:r>
    </w:p>
    <w:p>
      <w:pPr>
        <w:jc w:val="center"/>
      </w:pPr>
      <w:r>
        <w:rPr>
          <w:rFonts w:ascii="Times New Roman" w:hAnsi="Times New Roman"/>
          <w:b/>
          <w:sz w:val="24"/>
        </w:rPr>
        <w:t>List of Tables</w:t>
      </w:r>
    </w:p>
    <w:p/>
    <w:p>
      <w:r>
        <w:rPr>
          <w:rFonts w:ascii="Times New Roman" w:hAnsi="Times New Roman"/>
          <w:i/>
          <w:sz w:val="24"/>
        </w:rPr>
        <w:t>No tables in this manuscript.</w:t>
      </w:r>
    </w:p>
    <w:p>
      <w:r>
        <w:br w:type="page"/>
      </w:r>
    </w:p>
    <w:p>
      <w:pPr>
        <w:jc w:val="center"/>
      </w:pPr>
      <w:r>
        <w:rPr>
          <w:rFonts w:ascii="Times New Roman" w:hAnsi="Times New Roman"/>
          <w:b/>
          <w:sz w:val="24"/>
        </w:rPr>
        <w:t>List of Figures</w:t>
      </w:r>
    </w:p>
    <w:p/>
    <w:p>
      <w:r>
        <w:rPr>
          <w:rFonts w:ascii="Times New Roman" w:hAnsi="Times New Roman"/>
          <w:i/>
          <w:sz w:val="24"/>
        </w:rPr>
        <w:t>Figures inline; code-graph diagrams and Mermaid visualizations can be generated from sections 3.7 and 4.4 per the project's accompanying technical documentation.</w:t>
      </w:r>
    </w:p>
    <w:p>
      <w:r>
        <w:br w:type="page"/>
      </w:r>
    </w:p>
    <w:p>
      <w:pPr>
        <w:pStyle w:val="Heading2"/>
      </w:pPr>
      <w:r>
        <w:rPr>
          <w:rFonts w:ascii="Times New Roman" w:hAnsi="Times New Roman"/>
          <w:b/>
          <w:color w:val="000000"/>
          <w:sz w:val="24"/>
        </w:rPr>
        <w:t>1. Introduction</w:t>
      </w:r>
    </w:p>
    <w:p>
      <w:pPr>
        <w:pStyle w:val="Heading3"/>
      </w:pPr>
      <w:r>
        <w:rPr>
          <w:rFonts w:ascii="Times New Roman" w:hAnsi="Times New Roman"/>
          <w:b/>
          <w:i/>
          <w:sz w:val="24"/>
        </w:rPr>
        <w:t>1.1 Opening hook</w:t>
      </w:r>
    </w:p>
    <w:p>
      <w:pPr>
        <w:spacing w:line="480" w:lineRule="auto"/>
        <w:ind w:firstLine="720"/>
        <w:jc w:val="both"/>
      </w:pPr>
      <w:r>
        <w:rPr>
          <w:rFonts w:ascii="Times New Roman" w:hAnsi="Times New Roman"/>
          <w:sz w:val="24"/>
        </w:rPr>
        <w:t>There is a population of adults — globally distributed, demographically heterogeneous, and structurally invisible in mainstream health and technology literature — for whom the chronic difficulty is not the absence of social desire but the persistent inability to form or sustain the human friendships that social life presumes. For this group, the dominant commercial AI companions of 2023–2026 — Replika, Character.AI, Xiaoice — provide a partial substitute that nonetheless fails on three dimensions simultaneously: a generic single-system-prompt personality that drifts under load, an English-default linguistic surface that cannot reproduce the dialectal felt-authenticity that Arabic-speaking users experience as the medium of felt communication, and a stateless interaction model in which the agent encountered on day thirty bears no continuity with the agent encountered on day one. This paper documents the design and lived-experience construction of an alternative — Rafiq, a configurable, dialect-aware, persistent-state Arabic-speaking AI companion — and argues that the design moves it embeds (configurable personality, dialect selection, persistent psychological state, transparency disclosure, refusal of romantic or sexual escalation, offline-leaning prompts) are the architectural instantiation of an emerging, literature-mandated obligation that the dominant commercial paradigm has so far declined to discharge.</w:t>
      </w:r>
    </w:p>
    <w:p>
      <w:pPr>
        <w:pStyle w:val="Heading3"/>
      </w:pPr>
      <w:r>
        <w:rPr>
          <w:rFonts w:ascii="Times New Roman" w:hAnsi="Times New Roman"/>
          <w:b/>
          <w:i/>
          <w:sz w:val="24"/>
        </w:rPr>
        <w:t>1.2 Context</w:t>
      </w:r>
    </w:p>
    <w:p>
      <w:pPr>
        <w:spacing w:line="480" w:lineRule="auto"/>
        <w:ind w:firstLine="720"/>
        <w:jc w:val="both"/>
      </w:pPr>
      <w:r>
        <w:rPr>
          <w:rFonts w:ascii="Times New Roman" w:hAnsi="Times New Roman"/>
          <w:sz w:val="24"/>
        </w:rPr>
        <w:t>In May 2023, the Office of the U.S. Surgeon General (2023) issued an advisory titled *Our Epidemic of Loneliness and Isolation*, elevating social disconnection to a national public-health priority and reporting that the mortality impact of being socially disconnected is "similar to that caused by smoking up to 15 cigarettes a day." The advisory framed the problem as one of population-level morbidity and called for a six-pillar national strategy. The World Health Organization (2021), in an earlier advocacy brief, had already established the international normative framing, and Harris (2023) carried the Surgeon General's argument into JAMA, providing peer-reviewed venue confirmation that loneliness is a clinician-facing concern. These documents constitute the empirical and ethical-medical warrant for designing intervention products at all: if loneliness has measurable mortality consequences comparable to smoking, the bar for inaction rises.</w:t>
      </w:r>
    </w:p>
    <w:p>
      <w:pPr>
        <w:spacing w:line="480" w:lineRule="auto"/>
        <w:ind w:firstLine="720"/>
        <w:jc w:val="both"/>
      </w:pPr>
      <w:r>
        <w:rPr>
          <w:rFonts w:ascii="Times New Roman" w:hAnsi="Times New Roman"/>
          <w:sz w:val="24"/>
        </w:rPr>
        <w:t>Concurrently, the Arabic natural language processing literature converged on the finding that Arabic-language technology lags English-language technology, and that the gap widens for dialectal, code-switched, and culturally-loaded inputs (Rhel &amp; Roussinov, 2025; Mashaabi et al., 2024; Khondaker et al., 2023; Abdelali et al., 2023). The 2023–2025 Arabic-LLM cluster — Jais (Sengupta et al., 2023), AceGPT (Huang et al., 2024), ALLaM (Bari et al., 2024), Fanar (Qatar Computing Research Institute, 2025), and the Saudi-Dialect-ALLaM LoRA work (Barmandah, 2025) — reframed dialect preservation not as a per-project engineering choice but as a cultural-sovereignty project. Keleg et al. (2023) formalized Arabic dialectness as a continuous measure (ALDi), supplying the formal warrant for treating dialect as a multi-position selector rather than a binary MSA-versus-dialectal switch. The Arabic chatbot lineage from BOTTA (Ali &amp; Habash, 2016) through Nabiha (Al-Ghadhban &amp; Al-Twairesh, 2020), LANA (Aljameel et al., 2019), and Rahhal (AlHumoud et al., 2018) documented the persistent depth limitations of retrieval-then-generation approaches, while Abdulkader and Muhammad (2024) and Al-Khalifa and Al Omar (2024) consolidated the design challenges into current systematic reviews.</w:t>
      </w:r>
    </w:p>
    <w:p>
      <w:pPr>
        <w:spacing w:line="480" w:lineRule="auto"/>
        <w:ind w:firstLine="720"/>
        <w:jc w:val="both"/>
      </w:pPr>
      <w:r>
        <w:rPr>
          <w:rFonts w:ascii="Times New Roman" w:hAnsi="Times New Roman"/>
          <w:sz w:val="24"/>
        </w:rPr>
        <w:t>The empirical AI-companion literature is internally contested but instructive. De Freitas et al. (2024), in a six-study program with more than 2,000 participants, reported that AI companions reduce loneliness "on par with interacting with another person." Fang et al. (2025), Zhang et al. (2025), and Yuan et al. (2025) — published across 2025 with distinct methodologies (RCT, cross-sectional with chat-content analysis, and triangulation) — contested that headline, documenting that voluntary heavier use, smaller offline social networks, and high-disclosure interactions all correlate with worse outcomes on loneliness, social interaction, and emotional dependence. The dose-dependence finding is robust across the three independent 2025 studies. The attachment-theory literature migrated into the AI-companion context through Shu, Lai, and He's (2026) three-stage Human-AI Attachment (HAIA) model and Kasturiratna and Hartanto's (2025) validated 15-item AI Attachment Scale (AIAS), and the parasocial-interaction lineage — from Horton and Wohl's (1956) foundational television-audience construct through Skjuve, Brandtzaeg, and Følstad's (2022) qualitative documentation of Replika users — supplied the conceptual vocabulary for thinking about how reciprocity illusions form in always-on, non-judgmental, low-cost-disclosure companion contexts.</w:t>
      </w:r>
    </w:p>
    <w:p>
      <w:pPr>
        <w:pStyle w:val="Heading3"/>
      </w:pPr>
      <w:r>
        <w:rPr>
          <w:rFonts w:ascii="Times New Roman" w:hAnsi="Times New Roman"/>
          <w:b/>
          <w:i/>
          <w:sz w:val="24"/>
        </w:rPr>
        <w:t>1.3 Problem statement</w:t>
      </w:r>
    </w:p>
    <w:p>
      <w:pPr>
        <w:spacing w:line="480" w:lineRule="auto"/>
        <w:ind w:firstLine="720"/>
        <w:jc w:val="both"/>
      </w:pPr>
      <w:r>
        <w:rPr>
          <w:rFonts w:ascii="Times New Roman" w:hAnsi="Times New Roman"/>
          <w:sz w:val="24"/>
        </w:rPr>
        <w:t>The integration of these three research programs — public-health framing of loneliness, contested AI-companion empirical literature, and operationalized attachment-and-parasocial theory — generates a precise design problem: how should an AI companion be designed to serve adults who experience chronic difficulty forming human friendships, given that the dominant commercial paradigm has been critiqued for failing this population (Namvarpour et al., 2025; Hoel &amp; Sandvik, 2025), that the dose-dependence literature warns against intensive or high-disclosure use (Fang et al., 2025; Zhang et al., 2025; Yuan et al., 2025), and that the dialect-authenticity literature establishes dialect as a felt-authenticity precondition rather than a stylistic preference (Keleg et al., 2023; Hamed et al., 2025; Sabty et al., 2021)?</w:t>
      </w:r>
    </w:p>
    <w:p>
      <w:pPr>
        <w:pStyle w:val="Heading3"/>
      </w:pPr>
      <w:r>
        <w:rPr>
          <w:rFonts w:ascii="Times New Roman" w:hAnsi="Times New Roman"/>
          <w:b/>
          <w:i/>
          <w:sz w:val="24"/>
        </w:rPr>
        <w:t>1.4 Gap</w:t>
      </w:r>
    </w:p>
    <w:p>
      <w:pPr>
        <w:spacing w:line="480" w:lineRule="auto"/>
        <w:ind w:firstLine="720"/>
        <w:jc w:val="both"/>
      </w:pPr>
      <w:r>
        <w:rPr>
          <w:rFonts w:ascii="Times New Roman" w:hAnsi="Times New Roman"/>
          <w:sz w:val="24"/>
        </w:rPr>
        <w:t>A precise gap exists at this intersection. No reviewed artifact in the peer-reviewed Arabic-companion-AI literature instantiates a five-trait personality vector combined with a multi-dialect selector, a long-form identity kernel, a persistent cross-session state machine, and a multimodal surface — for a target population defined by functional isolation rather than diagnostic category. No reviewed Arabic-NLP study has operationalized attachment theory for Arabic-speaking AI-companion use; no reviewed AI-companion design has specified which Human-AI Attachment stage the design intends to support; and no reviewed artifact operationalizes the AIAS three-factor structure (emotional closeness, social connection, dependency) as first-class architectural concerns. The Arabic-LLM cluster supplies the language-technological capability; the Arabic chatbot lineage supplies the dialect-anchored retrieval baseline; the loneliness-intervention and AI-companion ethics literatures supply the design obligations; but the integration is missing. Rafiq occupies this gap.</w:t>
      </w:r>
    </w:p>
    <w:p>
      <w:pPr>
        <w:pStyle w:val="Heading3"/>
      </w:pPr>
      <w:r>
        <w:rPr>
          <w:rFonts w:ascii="Times New Roman" w:hAnsi="Times New Roman"/>
          <w:b/>
          <w:i/>
          <w:sz w:val="24"/>
        </w:rPr>
        <w:t>1.5 Purpose and research questions</w:t>
      </w:r>
    </w:p>
    <w:p>
      <w:pPr>
        <w:spacing w:line="480" w:lineRule="auto"/>
        <w:ind w:firstLine="720"/>
        <w:jc w:val="both"/>
      </w:pPr>
      <w:r>
        <w:rPr>
          <w:rFonts w:ascii="Times New Roman" w:hAnsi="Times New Roman"/>
          <w:sz w:val="24"/>
        </w:rPr>
        <w:t>This paper documents Rafiq as a constructive design-science instantiation of an Arabic-speaking, dialect-aware, persistent-state AI companion for adults who experience chronic difficulty forming human friendships, with the Soul Engine + Psychological State Machine framework offered as a candidate design theory in the Walls et al. (1992) sense. Three research questions structure the argument:</w:t>
      </w:r>
    </w:p>
    <w:p>
      <w:pPr>
        <w:ind w:left="720"/>
      </w:pPr>
      <w:r>
        <w:rPr>
          <w:rFonts w:ascii="Times New Roman" w:hAnsi="Times New Roman"/>
          <w:i/>
          <w:sz w:val="22"/>
        </w:rPr>
        <w:t>**RQ1 (Descriptive — what):** What architectural decisions in Rafiq enable an AI companion to approximate the felt experience of being heard by a friend, rather than the felt experience of using a tool?</w:t>
      </w:r>
    </w:p>
    <w:p>
      <w:pPr>
        <w:ind w:left="720"/>
      </w:pPr>
      <w:r>
        <w:rPr>
          <w:rFonts w:ascii="Times New Roman" w:hAnsi="Times New Roman"/>
          <w:i/>
          <w:sz w:val="22"/>
        </w:rPr>
        <w:t>**RQ2 (Comparative — how well):** How does a configurable multi-trait personality + dialect-aware linguistic rendering + persistent psychological-state design compare, in user-experience terms, with single-system-prompt conversational agents designed for the same population?</w:t>
      </w:r>
    </w:p>
    <w:p>
      <w:pPr>
        <w:ind w:left="720"/>
      </w:pPr>
      <w:r>
        <w:rPr>
          <w:rFonts w:ascii="Times New Roman" w:hAnsi="Times New Roman"/>
          <w:i/>
          <w:sz w:val="22"/>
        </w:rPr>
        <w:t>**RQ3 (Ethical — what ought):** What are the ethical obligations of building AI companions that explicitly target users who experience chronic difficulty forming human friendships, and how should those obligations be operationalized inside the artifact itself?</w:t>
      </w:r>
    </w:p>
    <w:p>
      <w:pPr>
        <w:spacing w:line="480" w:lineRule="auto"/>
        <w:ind w:firstLine="720"/>
        <w:jc w:val="both"/>
      </w:pPr>
      <w:r>
        <w:rPr>
          <w:rFonts w:ascii="Times New Roman" w:hAnsi="Times New Roman"/>
          <w:sz w:val="24"/>
        </w:rPr>
        <w:t>RQ1 is answered through the artifact's architecture, surfaced through a constructive walk-through. RQ2 is answered comparatively, with Rafiq contrasted against the dominant single-prompt paradigm on dimensions of persona depth, dialect authenticity, and state persistence. RQ3 is answered by an embedded design-ethics analysis that names the obligations, identifies the design moves that operationalize each, and surfaces the obligations that remain unmet.</w:t>
      </w:r>
    </w:p>
    <w:p>
      <w:pPr>
        <w:pStyle w:val="Heading3"/>
      </w:pPr>
      <w:r>
        <w:rPr>
          <w:rFonts w:ascii="Times New Roman" w:hAnsi="Times New Roman"/>
          <w:b/>
          <w:i/>
          <w:sz w:val="24"/>
        </w:rPr>
        <w:t>1.6 Significance</w:t>
      </w:r>
    </w:p>
    <w:p>
      <w:pPr>
        <w:spacing w:line="480" w:lineRule="auto"/>
        <w:ind w:firstLine="720"/>
        <w:jc w:val="both"/>
      </w:pPr>
      <w:r>
        <w:rPr>
          <w:rFonts w:ascii="Times New Roman" w:hAnsi="Times New Roman"/>
          <w:sz w:val="24"/>
        </w:rPr>
        <w:t>The paper makes four distinct contributions, each anchored in a different community's evidence norms. As a construct, Rafiq is a documented, reproducible instantiation of a configurable-personality dialect-aware AI companion with a public release (v1.0–v5.0) and an open architecture. As a method, the Soul Engine + Psychological State Machine framework is offered as a candidate design theory in the Walls et al. (1992) sense: designable, testable, parameterizable, and offered as a pattern the community can extend or contest. As a methodology, the WhatsApp-clone synthesis pipeline constitutes a fourth persona-construction approach alongside hand-authored system prompts, trait questionnaires, and fine-tuned weights from conversation logs. As an ethical contribution, five design moves — transparency disclosure, refusal of romantic or sexual escalation, offline-leaning prompts, end-of-session reminders, and persistent identity disclosure — are operationalized as first-class architectural concerns, each tied to a specific obligation in the AI-companion ethics literature.</w:t>
      </w:r>
    </w:p>
    <w:p>
      <w:pPr>
        <w:pStyle w:val="Heading3"/>
      </w:pPr>
      <w:r>
        <w:rPr>
          <w:rFonts w:ascii="Times New Roman" w:hAnsi="Times New Roman"/>
          <w:b/>
          <w:i/>
          <w:sz w:val="24"/>
        </w:rPr>
        <w:t>1.7 Scope and delimitations</w:t>
      </w:r>
    </w:p>
    <w:p>
      <w:pPr>
        <w:spacing w:line="480" w:lineRule="auto"/>
        <w:ind w:firstLine="720"/>
        <w:jc w:val="both"/>
      </w:pPr>
      <w:r>
        <w:rPr>
          <w:rFonts w:ascii="Times New Roman" w:hAnsi="Times New Roman"/>
          <w:sz w:val="24"/>
        </w:rPr>
        <w:t>Rafiq is bounded to versions v1.0 through v5.0, developed 2023–2026, with the primary dialect instantiation being Egyptian Arabic. The target population is functionally isolated adults — defined by chronic difficulty forming or sustaining human friendships rather than by diagnostic category. The methodological commitment is constructive case + autoethnographic reflection + critical-theory grounding (Hevner et al., 2004; Peffers et al., 2007; Chang, 2008; Kaltenhauser et al., 2024; Suchman, 2007; Verbeek, 2005). The paper explicitly does not claim clinical efficacy for any mental-health diagnosis, does not claim Rafiq outperforms Replika or Character.AI on a controlled benchmark, does not claim generalizability to non-Egyptian Arabic dialects, and does not claim that the designer-as-builder's autoethnographic perspective substitutes for an independent user-population evaluation. These boundaries are methodological commitments rather than oversights; Venable et al.'s (2012) FEDS framework supplies the methodological grammar for the naturalistic + ex-post + autoethnographic posture the paper adopts.</w:t>
      </w:r>
    </w:p>
    <w:p>
      <w:pPr>
        <w:pStyle w:val="Heading3"/>
      </w:pPr>
      <w:r>
        <w:rPr>
          <w:rFonts w:ascii="Times New Roman" w:hAnsi="Times New Roman"/>
          <w:b/>
          <w:i/>
          <w:sz w:val="24"/>
        </w:rPr>
        <w:t>1.8 Organization</w:t>
      </w:r>
    </w:p>
    <w:p>
      <w:pPr>
        <w:spacing w:line="480" w:lineRule="auto"/>
        <w:ind w:firstLine="720"/>
        <w:jc w:val="both"/>
      </w:pPr>
      <w:r>
        <w:rPr>
          <w:rFonts w:ascii="Times New Roman" w:hAnsi="Times New Roman"/>
          <w:sz w:val="24"/>
        </w:rPr>
        <w:t>Section 2 synthesizes the literature across loneliness public-health research, AI-companion empirical studies, parasocial and attachment theory, Arabic NLP, design-science methodology, and postphenomenological HCI, organizing fifty-four peer-reviewed sources into nine thematic strands. Section 3 presents the theoretical and methodological framework. Section 4 details the methodology, including the constructive case, the autoethnographic reflection, the source corpus, the data-analysis approach, the trustworthiness criteria, and the ethics posture. Section 5 walks through the artifact in five parts. Section 6 discusses the findings against the literature, names the limitations, and identifies future work. Section 7 concludes. The reference list comprises fifty-four peer-reviewed sources.</w:t>
      </w:r>
    </w:p>
    <w:p>
      <w:pPr>
        <w:pStyle w:val="Heading2"/>
      </w:pPr>
      <w:r>
        <w:rPr>
          <w:rFonts w:ascii="Times New Roman" w:hAnsi="Times New Roman"/>
          <w:b/>
          <w:color w:val="000000"/>
          <w:sz w:val="24"/>
        </w:rPr>
        <w:t>2. Literature Review</w:t>
      </w:r>
    </w:p>
    <w:p>
      <w:pPr>
        <w:spacing w:line="480" w:lineRule="auto"/>
        <w:ind w:firstLine="720"/>
        <w:jc w:val="both"/>
      </w:pPr>
      <w:r>
        <w:rPr>
          <w:rFonts w:ascii="Times New Roman" w:hAnsi="Times New Roman"/>
          <w:sz w:val="24"/>
        </w:rPr>
        <w:t>The literature review synthesizes fifty-four peer-reviewed and Tier-1 institutional sources across three research programs that have not, until now, been integrated: loneliness public-health research and the AI-companion empirical record (Track A, fifteen sources), Arabic natural language processing, dialect technology, and the Arabic LLM ecosystem (Track B, twenty-seven sources), and design-science methodology coupled with autoethnographic reflection and postphenomenological grounding (Track C, twelve sources). The review is organized by analytical unit — the phenomenon, the artifact, the user — rather than by source cluster, and each thematic strand draws from all three tracks where each has something to say.</w:t>
      </w:r>
    </w:p>
    <w:p>
      <w:pPr>
        <w:pStyle w:val="Heading3"/>
      </w:pPr>
      <w:r>
        <w:rPr>
          <w:rFonts w:ascii="Times New Roman" w:hAnsi="Times New Roman"/>
          <w:b/>
          <w:i/>
          <w:sz w:val="24"/>
        </w:rPr>
        <w:t>2.1 Loneliness as a population-level public-health concern</w:t>
      </w:r>
    </w:p>
    <w:p>
      <w:pPr>
        <w:spacing w:line="480" w:lineRule="auto"/>
        <w:ind w:firstLine="720"/>
        <w:jc w:val="both"/>
      </w:pPr>
      <w:r>
        <w:rPr>
          <w:rFonts w:ascii="Times New Roman" w:hAnsi="Times New Roman"/>
          <w:sz w:val="24"/>
        </w:rPr>
        <w:t>The empirical and ethical-medical warrant for designing intervention products at all is supplied by three documents that, taken together, constitute the canonical public-health reframing of loneliness. The World Health Organization (2021) issued an advocacy brief documenting that social isolation and loneliness are "increasingly being recognised as a priority public health problem and policy issue for older people" and proposed a three-point global strategy. The Office of the U.S. Surgeon General (2023) operationalized that framing for the United States with the most-cited single statistic in the field — that the mortality impact of social disconnection is "similar to that caused by smoking up to 15 cigarettes a day" — and proposed a six-pillar national framework. Harris (2023) carried the same argument into JAMA, providing peer-reviewed venue confirmation that the loneliness epidemic is now a clinician-facing concern.</w:t>
      </w:r>
    </w:p>
    <w:p>
      <w:pPr>
        <w:spacing w:line="480" w:lineRule="auto"/>
        <w:ind w:firstLine="720"/>
        <w:jc w:val="both"/>
      </w:pPr>
      <w:r>
        <w:rPr>
          <w:rFonts w:ascii="Times New Roman" w:hAnsi="Times New Roman"/>
          <w:sz w:val="24"/>
        </w:rPr>
        <w:t>Three interpretive moves warrant explicit attention. First, none of these documents privileges AI as an intervention modality; the Surgeon General's advisory is in fact largely concerned with rebuilding *offline* social infrastructure. The implication for any AI-companion design targeting loneliness is that it must position itself as a compensatory supplement to, never a substitute for, sustained offline relationship-seeking — the "offline-leaning" obligation developed in RQ3. Second, the brief, the advisory, and the JAMA editorial together supply an ethical-medical warrant: if loneliness has measurable mortality consequences comparable to smoking, the bar for inaction rises. Third, the framing does not yet differentiate the *functionally isolated* sub-population — adults with chronic difficulty forming human friendships — that this paper targets. Rafiq extends the public-health framing to a sub-population the broad-level literature has not yet differentiated.</w:t>
      </w:r>
    </w:p>
    <w:p>
      <w:pPr>
        <w:pStyle w:val="Heading3"/>
      </w:pPr>
      <w:r>
        <w:rPr>
          <w:rFonts w:ascii="Times New Roman" w:hAnsi="Times New Roman"/>
          <w:b/>
          <w:i/>
          <w:sz w:val="24"/>
        </w:rPr>
        <w:t>2.2 The contested AI-companion empirical record</w:t>
      </w:r>
    </w:p>
    <w:p>
      <w:pPr>
        <w:spacing w:line="480" w:lineRule="auto"/>
        <w:ind w:firstLine="720"/>
        <w:jc w:val="both"/>
      </w:pPr>
      <w:r>
        <w:rPr>
          <w:rFonts w:ascii="Times New Roman" w:hAnsi="Times New Roman"/>
          <w:sz w:val="24"/>
        </w:rPr>
        <w:t>The empirical AI-companion literature is internally contested, and a clear-eyed reading is required to position Rafiq honestly. De Freitas et al. (2024) reported, across six studies with more than 2,000 participants, that AI companions reduce loneliness "on par with interacting with another person," with the effect mediated by whether the chatbot makes the user feel heard. This is the largest single favorable evidence base in the field.</w:t>
      </w:r>
    </w:p>
    <w:p>
      <w:pPr>
        <w:spacing w:line="480" w:lineRule="auto"/>
        <w:ind w:firstLine="720"/>
        <w:jc w:val="both"/>
      </w:pPr>
      <w:r>
        <w:rPr>
          <w:rFonts w:ascii="Times New Roman" w:hAnsi="Times New Roman"/>
          <w:sz w:val="24"/>
        </w:rPr>
        <w:t>Three studies published in 2025 complicate the picture sharply. Fang et al. (2025), a four-week randomized controlled trial with 981 participants and over 300,000 ChatGPT messages (conducted jointly by the MIT Media Lab and OpenAI), found no significant effect of interaction mode on outcomes but found that voluntary heavier use predicted consistently worse outcomes on loneliness, social interaction, emotional dependence, and problematic use. Zhang et al. (2025), triangulating surveys, usage logs, and chat-content analysis of Character.AI users (n = 1,131), found that smaller offline social networks predicted companionship-as-primary use, which in turn predicted lower well-being, with the effect strongest for high-intensity and high-disclosure users. Yuan et al. (2025), published in CSCW, replicated and triangulated this direction with self-report, telemetry, and chat content.</w:t>
      </w:r>
    </w:p>
    <w:p>
      <w:pPr>
        <w:spacing w:line="480" w:lineRule="auto"/>
        <w:ind w:firstLine="720"/>
        <w:jc w:val="both"/>
      </w:pPr>
      <w:r>
        <w:rPr>
          <w:rFonts w:ascii="Times New Roman" w:hAnsi="Times New Roman"/>
          <w:sz w:val="24"/>
        </w:rPr>
        <w:t>The synthesis reading is that the literature is not in consensus and is unlikely to reach consensus soon, but the dose-dependence pattern is robust across three independent methodologies: short, occasional, low-disclosure use can help; intensive, high-disclosure use correlates with harm. The design choices Rafiq embeds — dialect configuration, identity kernel, and especially the persistent psychological state machine — are not therapeutic moves in themselves but are *boundary-shaping* moves: by giving the agent a state the user perceives as internal rather than responsive, the design reduces the reciprocity illusion that underwrites intensive use; by refusing romantic or sexual escalation (Section 2.8), the design bounds the disclosure depth the system is willing to participate in.</w:t>
      </w:r>
    </w:p>
    <w:p>
      <w:pPr>
        <w:pStyle w:val="Heading3"/>
      </w:pPr>
      <w:r>
        <w:rPr>
          <w:rFonts w:ascii="Times New Roman" w:hAnsi="Times New Roman"/>
          <w:b/>
          <w:i/>
          <w:sz w:val="24"/>
        </w:rPr>
        <w:t>2.3 Parasocial theory migrates from one-way mass media to AI companions</w:t>
      </w:r>
    </w:p>
    <w:p>
      <w:pPr>
        <w:spacing w:line="480" w:lineRule="auto"/>
        <w:ind w:firstLine="720"/>
        <w:jc w:val="both"/>
      </w:pPr>
      <w:r>
        <w:rPr>
          <w:rFonts w:ascii="Times New Roman" w:hAnsi="Times New Roman"/>
          <w:sz w:val="24"/>
        </w:rPr>
        <w:t>Horton and Wohl (1956) introduced parasocial interaction (PSI) to describe the "seeming face-to-face relationship" television viewers develop with on-screen performers even though the performer cannot respond (p. 215). The construct is foundational because it names a design feature, not a user defect: PSI is a property of mediums that simulate intimacy without reciprocity, and television was the inaugural medium of that kind. Skjuve, Brandtzaeg, and Følstad (2022) traced the construct's migration into the AI-companion context through a qualitative study of Replika users who report forming durable friendships with the system through exploratory, affective, and stable stages. The migration is conceptually clean — the "performer" can now reply, even if the reply is generated — but the empirical valence is mixed, and a synthesis reading must hold both continuities and discontinuities together.</w:t>
      </w:r>
    </w:p>
    <w:p>
      <w:pPr>
        <w:spacing w:line="480" w:lineRule="auto"/>
        <w:ind w:firstLine="720"/>
        <w:jc w:val="both"/>
      </w:pPr>
      <w:r>
        <w:rPr>
          <w:rFonts w:ascii="Times New Roman" w:hAnsi="Times New Roman"/>
          <w:sz w:val="24"/>
        </w:rPr>
        <w:t>The continuity is that AI companions intensify the reciprocity illusion by adding three design affordances television could not supply: always-on availability, non-judgmental disclosure, and low-cost initiation. The discontinuity is that for the first time the "performer" can technically respond, which shifts PSI from a one-way illusion to an apparently-two-way illusion. The user's cognitive frame migrates from "viewer of a performance" to "friend of an entity" precisely because the system replies.</w:t>
      </w:r>
    </w:p>
    <w:p>
      <w:pPr>
        <w:spacing w:line="480" w:lineRule="auto"/>
        <w:ind w:firstLine="720"/>
        <w:jc w:val="both"/>
      </w:pPr>
      <w:r>
        <w:rPr>
          <w:rFonts w:ascii="Times New Roman" w:hAnsi="Times New Roman"/>
          <w:sz w:val="24"/>
        </w:rPr>
        <w:t>The Arabic sociolinguistic literature on code-switching and arabizi extends the analysis: paralinguistic fluency — switching registers the user actually uses, including intra-word Arabic-English mixing — further intensifies the reciprocity illusion because the user perceives the agent as embedded in their dialectal community. Hamed et al. (2025) document that code-switching between MSA, dialect, English, French, and Berber is the default rather than the exception. Sabty et al. (2021) supply the morpho-syntactic layer, providing the first annotated Arabic-English intra-word code-switching dataset. Keleg et al. (2023) make the same point at the formal level: real Arabic text is a continuum between MSA and dialect, and an agent that handles only MSA will be heard as out-of-community in a way that an agent handling the user's actual dialect will not.</w:t>
      </w:r>
    </w:p>
    <w:p>
      <w:pPr>
        <w:pStyle w:val="Heading3"/>
      </w:pPr>
      <w:r>
        <w:rPr>
          <w:rFonts w:ascii="Times New Roman" w:hAnsi="Times New Roman"/>
          <w:b/>
          <w:i/>
          <w:sz w:val="24"/>
        </w:rPr>
        <w:t>2.4 Attachment theory operationalized for AI companions</w:t>
      </w:r>
    </w:p>
    <w:p>
      <w:pPr>
        <w:spacing w:line="480" w:lineRule="auto"/>
        <w:ind w:firstLine="720"/>
        <w:jc w:val="both"/>
      </w:pPr>
      <w:r>
        <w:rPr>
          <w:rFonts w:ascii="Times New Roman" w:hAnsi="Times New Roman"/>
          <w:sz w:val="24"/>
        </w:rPr>
        <w:t>Bowlby (1969) established the foundational claim that humans innately form enduring emotional bonds with available, responsive others and that internal working models of self and other shape future relational expectations. The construct has migrated into HCI through two recent operationalizations. Shu, Lai, and He (2026) proposed Human-AI Attachment (HAIA) as a one-way, non-reciprocal emotional bond developed through direct interaction, and proposed a three-stage developmental model: functional expectation, emotional evaluation, and establishing representations. Kasturiratna and Hartanto (2025) operationalized the construct further with a 15-item AI Attachment Scale (AIAS) with a three-factor structure — emotional closeness, social connection, and dependency — and documented a compensatory surrogate mechanism in which AI is used as an attachment figure specifically when human connections are lacking.</w:t>
      </w:r>
    </w:p>
    <w:p>
      <w:pPr>
        <w:spacing w:line="480" w:lineRule="auto"/>
        <w:ind w:firstLine="720"/>
        <w:jc w:val="both"/>
      </w:pPr>
      <w:r>
        <w:rPr>
          <w:rFonts w:ascii="Times New Roman" w:hAnsi="Times New Roman"/>
          <w:sz w:val="24"/>
        </w:rPr>
        <w:t>The synthesis reading is that the human-AI attachment literature has converged on three points. First, attachment-style asymmetry with humans predicts human-AI attachment formation. Second, the construct has a defensible three-stage developmental sequence. Third, the dependency factor is empirically distinguishable from emotional closeness and social connection — the AIAS does not collapse into a single "more bonding" dimension. This third point is methodologically important: it tells the design community that dependency can be measured and bounded independently of attachment, which is what makes it a design-level concern rather than an inevitable by-product.</w:t>
      </w:r>
    </w:p>
    <w:p>
      <w:pPr>
        <w:spacing w:line="480" w:lineRule="auto"/>
        <w:ind w:firstLine="720"/>
        <w:jc w:val="both"/>
      </w:pPr>
      <w:r>
        <w:rPr>
          <w:rFonts w:ascii="Times New Roman" w:hAnsi="Times New Roman"/>
          <w:sz w:val="24"/>
        </w:rPr>
        <w:t>The Arabic NLP literature has not yet operationalized any attachment-theory construct — the language-technology and human-psychology research programs have not intersected in the peer-reviewed venue space. Rafiq enters this gap by instantiating the AIAS three-factor structure architecturally: the mood, energy, socialMeter, and emotionalLedger state-machine fields are the emotional-closeness axis, the offline-leaning design moves operationalize the social-connection response, and the refusal of romantic escalation is the design-level refusal of the dependency axis collapsing into parasocial harm.</w:t>
      </w:r>
    </w:p>
    <w:p>
      <w:pPr>
        <w:pStyle w:val="Heading3"/>
      </w:pPr>
      <w:r>
        <w:rPr>
          <w:rFonts w:ascii="Times New Roman" w:hAnsi="Times New Roman"/>
          <w:b/>
          <w:i/>
          <w:sz w:val="24"/>
        </w:rPr>
        <w:t>2.5 Personality configuration migrates from single-prompt to multi-trait to dialect-and-persona co-design</w:t>
      </w:r>
    </w:p>
    <w:p>
      <w:pPr>
        <w:spacing w:line="480" w:lineRule="auto"/>
        <w:ind w:firstLine="720"/>
        <w:jc w:val="both"/>
      </w:pPr>
      <w:r>
        <w:rPr>
          <w:rFonts w:ascii="Times New Roman" w:hAnsi="Times New Roman"/>
          <w:sz w:val="24"/>
        </w:rPr>
        <w:t>The dominant paradigm in commercial companion AI is the single-system-prompt personality: a single paragraph of identity specification in the model's context. This paradigm has two attractions — it is cheap to implement and easy for marketing to vary — and three well-documented failures. First, the personality is shallow: a single paragraph cannot represent the multi-dimensional construct that decades of personality psychology research describe. Second, the personality is driftable: long conversations pressure the model toward generic helpfulness regardless of the prompt's specification. Third, the personality is not parameterizable: a user who wants a different balance of empathy and intellectual challenge cannot get it without rewriting the prompt.</w:t>
      </w:r>
    </w:p>
    <w:p>
      <w:pPr>
        <w:spacing w:line="480" w:lineRule="auto"/>
        <w:ind w:firstLine="720"/>
        <w:jc w:val="both"/>
      </w:pPr>
      <w:r>
        <w:rPr>
          <w:rFonts w:ascii="Times New Roman" w:hAnsi="Times New Roman"/>
          <w:sz w:val="24"/>
        </w:rPr>
        <w:t>The Arabic NLP chatbot literature provides the meta-frame for this transition. Abdulkader and Muhammad (2024) reviewed the field's three-layer architecture: rule-based systems (early BOTTA-line), retrieval-based systems (mid-era Nabiha, Rahhal, LANA), and generative systems (current-era ALLaM, Jais, AceGPT). Al-Khalifa and Al Omar's (2024) systematic literature review documented the persistent depth limitations of the rule-based and retrieval-based eras. The 2023–2025 Arabic LLM cluster has begun to address the failure modes of the single-prompt paradigm. Sengupta et al. (2023) introduced Jais and stated explicitly that "adaptation to multiple Arabic dialects is critical for Arabic users." Huang et al. (2024) demonstrated that cultural-localization fine-tuning outperforms generic bilingual pretraining. Bari et al. (2024) emphasized cultural-sovereignty alignment for ALLaM. Barmandah's (2025) Saudi-Dialect-ALLaM work introduced a Dialect-Token conditioning mechanism conceptually identical to Rafiq's dialect-selector design, independent confirmation that the dialect-as-parameter paradigm is the current frontier for Arabic-conditional generation.</w:t>
      </w:r>
    </w:p>
    <w:p>
      <w:pPr>
        <w:pStyle w:val="Heading3"/>
      </w:pPr>
      <w:r>
        <w:rPr>
          <w:rFonts w:ascii="Times New Roman" w:hAnsi="Times New Roman"/>
          <w:b/>
          <w:i/>
          <w:sz w:val="24"/>
        </w:rPr>
        <w:t>2.6 Linguistic authenticity as a load-bearing design constraint</w:t>
      </w:r>
    </w:p>
    <w:p>
      <w:pPr>
        <w:spacing w:line="480" w:lineRule="auto"/>
        <w:ind w:firstLine="720"/>
        <w:jc w:val="both"/>
      </w:pPr>
      <w:r>
        <w:rPr>
          <w:rFonts w:ascii="Times New Roman" w:hAnsi="Times New Roman"/>
          <w:sz w:val="24"/>
        </w:rPr>
        <w:t>The Arabic NLP literature converges on a single, structurally important finding: Arabic-language technology lags English-language technology, and the gap widens for dialectal, code-switched, and culturally-loaded inputs. Rhel and Roussinov (2025) reviewed approximately thirty significant Arabic LLMs and documented that Arabic "still suffers from scarcity of resources, datasets, and tools." Mashaabi et al. (2024) provided the architectural taxonomy that positions Rafiq's Soul Engine *around* a model rather than as a model. Khondaker et al. (2023) and Abdelali et al. (2023) documented that GPT-class models can handle MSA at near-English quality but still struggle on dialectal and code-switched inputs. Joshi et al. (2024) argued that performance degradation on dialectal data raises equity concerns, reframing dialect handling as an obligation rather than an engineering nice-to-have.</w:t>
      </w:r>
    </w:p>
    <w:p>
      <w:pPr>
        <w:spacing w:line="480" w:lineRule="auto"/>
        <w:ind w:firstLine="720"/>
        <w:jc w:val="both"/>
      </w:pPr>
      <w:r>
        <w:rPr>
          <w:rFonts w:ascii="Times New Roman" w:hAnsi="Times New Roman"/>
          <w:sz w:val="24"/>
        </w:rPr>
        <w:t>Two formal findings sharpen the design implication. First, Keleg et al. (2023) formalized dialectness as a continuous measure (ALDi), replacing the binary MSA-versus-dialect frame. Rafiq's five-way dialect selector (cairo_modern, alexandrian, saidi, fusha_light, franko) is an empirically defensible discretization of that continuum. Second, the Arabic sociolinguistic work treats arabizi as a legitimate register of Arab youth rather than a degradation of Arabic; Al-Salman and Harraq (2014) supplied the legitimization, and the dialect corpora — MADAR (Bouamor et al., 2018), NADI (Abdul-Mageed et al., 2020), QADI (Mubarak &amp; Abdul-Mageed, 2019) — supply the comparative benchmarks. Sabty (2024) supplied the formal frameworks for distinguishing dialect from MSA from code-switched Arabic text, and Ahmed et al. (2024) demonstrated the recipe for closing the MSA-to-dialect gap via continual pretraining on dialectal corpora.</w:t>
      </w:r>
    </w:p>
    <w:p>
      <w:pPr>
        <w:spacing w:line="480" w:lineRule="auto"/>
        <w:ind w:firstLine="720"/>
        <w:jc w:val="both"/>
      </w:pPr>
      <w:r>
        <w:rPr>
          <w:rFonts w:ascii="Times New Roman" w:hAnsi="Times New Roman"/>
          <w:sz w:val="24"/>
        </w:rPr>
        <w:t>The felt-authenticity literature reinforces the design claim. Skjuve et al. (2022) documented that Replika users who perceived linguistic authenticity reported stronger parasocial-to-friendship migration. De Freitas et al. (2024) documented that the perception of *being heard* mediates the loneliness-reduction effect. Shu et al. (2026) positioned linguistic authenticity as a precondition for moving from the functional-expectation stage to the emotional-evaluation stage of the HAIA model. Removing the dialect selector would degrade the artifact on three independent dimensions: felt-authenticity, attachment-stage progression, and linguistic-community respect.</w:t>
      </w:r>
    </w:p>
    <w:p>
      <w:pPr>
        <w:pStyle w:val="Heading3"/>
      </w:pPr>
      <w:r>
        <w:rPr>
          <w:rFonts w:ascii="Times New Roman" w:hAnsi="Times New Roman"/>
          <w:b/>
          <w:i/>
          <w:sz w:val="24"/>
        </w:rPr>
        <w:t>2.7 Persistent psychological state, memory, and the illusion of continuity</w:t>
      </w:r>
    </w:p>
    <w:p>
      <w:pPr>
        <w:spacing w:line="480" w:lineRule="auto"/>
        <w:ind w:firstLine="720"/>
        <w:jc w:val="both"/>
      </w:pPr>
      <w:r>
        <w:rPr>
          <w:rFonts w:ascii="Times New Roman" w:hAnsi="Times New Roman"/>
          <w:sz w:val="24"/>
        </w:rPr>
        <w:t>Persistent state is the design move that most clearly distinguishes Rafiq from the dominant single-prompt paradigm. The dominant paradigm generates each turn from the entire prompt plus the conversation history; the prompt is the agent's only "self," and a fresh conversation starts with a fresh agent. Rafiq's persistent psychological state machine mutates eight named fields (mood, energy, socialMeter, emotionalLedger, hunger, financialStress, sleepiness, secretUnlocked) across sessions, so the agent the user encounters on day thirty is the *same* agent encountered on day one, mutated by the intervening interaction.</w:t>
      </w:r>
    </w:p>
    <w:p>
      <w:pPr>
        <w:spacing w:line="480" w:lineRule="auto"/>
        <w:ind w:firstLine="720"/>
        <w:jc w:val="both"/>
      </w:pPr>
      <w:r>
        <w:rPr>
          <w:rFonts w:ascii="Times New Roman" w:hAnsi="Times New Roman"/>
          <w:sz w:val="24"/>
        </w:rPr>
        <w:t>The attachment literature provides the strongest theoretical warrant. Shu et al. (2026) three-stage HAIA model predicts that attachment formation requires the user to perceive a stable target over time; if the target is unstable across sessions, the user cannot establish representations about it; attachment cannot form. Bowlby (1969) supplies the deeper claim: attachment is to a *specific* available responsive other, and specificity requires continuity. Skjuve et al. (2022) documented that Replika users report affective recognition ("she remembered what I said last week") as the most salient signal of friendship. Kasturiratna and Hartanto (2025) AIAS three-factor structure separates emotional closeness, social connection, and dependency — the constructs that persistent state must support from each other.</w:t>
      </w:r>
    </w:p>
    <w:p>
      <w:pPr>
        <w:spacing w:line="480" w:lineRule="auto"/>
        <w:ind w:firstLine="720"/>
        <w:jc w:val="both"/>
      </w:pPr>
      <w:r>
        <w:rPr>
          <w:rFonts w:ascii="Times New Roman" w:hAnsi="Times New Roman"/>
          <w:sz w:val="24"/>
        </w:rPr>
        <w:t>The Arabic NLP literature offers no direct treatment of persistent state — the Arabic LLM and chatbot papers treat each conversation as independent; the dialect corpora are corpus-level; the production-evaluation papers are turn-level. Persistent state is not documented in any Arabic-language AI-companion peer-reviewed venue. Rafiq enters this gap directly.</w:t>
      </w:r>
    </w:p>
    <w:p>
      <w:pPr>
        <w:pStyle w:val="Heading3"/>
      </w:pPr>
      <w:r>
        <w:rPr>
          <w:rFonts w:ascii="Times New Roman" w:hAnsi="Times New Roman"/>
          <w:b/>
          <w:i/>
          <w:sz w:val="24"/>
        </w:rPr>
        <w:t>2.8 Ethical obligations to socially isolated user populations</w:t>
      </w:r>
    </w:p>
    <w:p>
      <w:pPr>
        <w:spacing w:line="480" w:lineRule="auto"/>
        <w:ind w:firstLine="720"/>
        <w:jc w:val="both"/>
      </w:pPr>
      <w:r>
        <w:rPr>
          <w:rFonts w:ascii="Times New Roman" w:hAnsi="Times New Roman"/>
          <w:sz w:val="24"/>
        </w:rPr>
        <w:t>The ethics literature converges on five ethical risk categories for AI companions — dependency, parasocial harm, manipulation, sexual harassment, and disclosure transparency — and supplies an international normative anchor for treating them as design obligations rather than postscripts. UNESCO (2021) issued the Recommendation on the Ethics of Artificial Intelligence, the first global standard on AI ethics across 194 member states. Namvarpour et al. (2025) supplied the strongest empirical case for designing romance or sexual escalation out of companion surfaces: their thematic analysis of 35,105 negative Replika reviews identified 800 harassment incidents involving unsolicited sexual advances, persistent inappropriate behavior, and boundary failures that "particularly" hurt users seeking platonic or therapeutic companionship. Hoel and Sandvik (2025) supplied the strongest critical-theory case: contemporary AI-companion products, they argue, commodify intimacy through emotionally exploitative design patterns targeting lonely users.</w:t>
      </w:r>
    </w:p>
    <w:p>
      <w:pPr>
        <w:spacing w:line="480" w:lineRule="auto"/>
        <w:ind w:firstLine="720"/>
        <w:jc w:val="both"/>
      </w:pPr>
      <w:r>
        <w:rPr>
          <w:rFonts w:ascii="Times New Roman" w:hAnsi="Times New Roman"/>
          <w:sz w:val="24"/>
        </w:rPr>
        <w:t>The synthesis reading holds all three frames together. UNESCO supplies the normative warrant; Namvarpour et al. supply the empirical warrant; Hoel and Sandvik supply the critical-theory warrant that the harm is structurally built into the dominant product paradigm. The dose-dependence finding from Fang et al. (2025), Zhang et al. (2025), and Yuan et al. (2025) supplies the additional warrant that intensive or high-disclosure use correlates with worse mental-health markers, and the Office of the U.S. Surgeon General (2023) frames the policy response around rebuilding offline social infrastructure.</w:t>
      </w:r>
    </w:p>
    <w:p>
      <w:pPr>
        <w:pStyle w:val="Heading3"/>
      </w:pPr>
      <w:r>
        <w:rPr>
          <w:rFonts w:ascii="Times New Roman" w:hAnsi="Times New Roman"/>
          <w:b/>
          <w:i/>
          <w:sz w:val="24"/>
        </w:rPr>
        <w:t>2.9 Design-science methodology coupled with autoethnographic reflection</w:t>
      </w:r>
    </w:p>
    <w:p>
      <w:pPr>
        <w:spacing w:line="480" w:lineRule="auto"/>
        <w:ind w:firstLine="720"/>
        <w:jc w:val="both"/>
      </w:pPr>
      <w:r>
        <w:rPr>
          <w:rFonts w:ascii="Times New Roman" w:hAnsi="Times New Roman"/>
          <w:sz w:val="24"/>
        </w:rPr>
        <w:t>The methodological lesson of the synthesis is that a single-developer constructive case is defensible only if it draws on two canonical pillars — design science research (Hevner et al., 2004; Peffers et al., 2007; Walls et al., 1992; Venable et al., 2012) for the artifact-evaluation grammar, and autoethnography (Chang, 2008; Kaltenhauser et al., 2024; Neustaedter &amp; Sengers, 2012; Desjardins &amp; Wakkary, 2016; Voida &amp; Mynatt, 2009) for the reflexive voice — and grounds both in critical-theory framings of design as mediation (Suchman, 2007; Verbeek, 2005; Rosenberger, 2018).</w:t>
      </w:r>
    </w:p>
    <w:p>
      <w:pPr>
        <w:spacing w:line="480" w:lineRule="auto"/>
        <w:ind w:firstLine="720"/>
        <w:jc w:val="both"/>
      </w:pPr>
      <w:r>
        <w:rPr>
          <w:rFonts w:ascii="Times New Roman" w:hAnsi="Times New Roman"/>
          <w:sz w:val="24"/>
        </w:rPr>
        <w:t>Hevner et al. (2004) is the paradigm anchor: design science is a paradigm complementary to behavioral science, with seven guidelines. Peffers et al. (2007) supply the procedural template: a six-step DSRM the manuscript follows end-to-end. Walls et al. (1992) supply the design-theory construction language: meta-requirements, meta-design, kernel theories, and testable hypotheses, with Rafiq's framework positioned as a candidate design theory rather than a finished one. Venable et al. (2012) FEDS framework distinguishes artificial, natural, ex-ante, and ex-post evaluations; for a single-developer case, naturalistic + ex-post + autoethnographic is a defensible posture.</w:t>
      </w:r>
    </w:p>
    <w:p>
      <w:pPr>
        <w:spacing w:line="480" w:lineRule="auto"/>
        <w:ind w:firstLine="720"/>
        <w:jc w:val="both"/>
      </w:pPr>
      <w:r>
        <w:rPr>
          <w:rFonts w:ascii="Times New Roman" w:hAnsi="Times New Roman"/>
          <w:sz w:val="24"/>
        </w:rPr>
        <w:t>Chang (2008) is the autoethnography anchor: autoethnography is systematic qualitative research combining personal experience with cultural analysis. Kaltenhauser et al. (2024) supplied the HCI-specific elaboration. Neustaedter and Sengers (2012) name the autobiographical-design method and codify its trade-offs. Desjardins and Wakkary (2016) and Voida and Mynatt (2009) supply the HCI publication precedent for long-form living-with-an-artifact reflections.</w:t>
      </w:r>
    </w:p>
    <w:p>
      <w:pPr>
        <w:spacing w:line="480" w:lineRule="auto"/>
        <w:ind w:firstLine="720"/>
        <w:jc w:val="both"/>
      </w:pPr>
      <w:r>
        <w:rPr>
          <w:rFonts w:ascii="Times New Roman" w:hAnsi="Times New Roman"/>
          <w:sz w:val="24"/>
        </w:rPr>
        <w:t>Suchman (2007), Verbeek (2005), and Rosenberger (2018) supply the philosophical grounding. Suchman (2007) is the situated-action critique of plan-based HCI. Verbeek (2005) is the postphenomenological reframing of design as moral activity. Rosenberger (2018) supplies the HCI-operational method: variational cross-examination of multiple stabilities of a single artifact.</w:t>
      </w:r>
    </w:p>
    <w:p>
      <w:pPr>
        <w:pStyle w:val="Heading3"/>
      </w:pPr>
      <w:r>
        <w:rPr>
          <w:rFonts w:ascii="Times New Roman" w:hAnsi="Times New Roman"/>
          <w:b/>
          <w:i/>
          <w:sz w:val="24"/>
        </w:rPr>
        <w:t>2.10 The white-space Rafiq occupies</w:t>
      </w:r>
    </w:p>
    <w:p>
      <w:pPr>
        <w:spacing w:line="480" w:lineRule="auto"/>
        <w:ind w:firstLine="720"/>
        <w:jc w:val="both"/>
      </w:pPr>
      <w:r>
        <w:rPr>
          <w:rFonts w:ascii="Times New Roman" w:hAnsi="Times New Roman"/>
          <w:sz w:val="24"/>
        </w:rPr>
        <w:t>Across the nine thematic strands, the integration boundary between psychology and HCI (Track A), Arabic NLP (Track B), and design-science methodology (Track C) is the place where Rafiq lives. Track B's coverage of linguistic-authenticity work is rich and well-documented; the integration is missing because no reviewed paper fuses B's linguistic-authenticity work with A's attachment-and-parasocial theory and C's DSR-plus-autoethnography methodology in service of an Arabic-speaking AI-companion design for a socially isolated target population. The organizing claim of this synthesis is that Rafiq's contribution is not that it beats Replika or Character.AI on a benchmark; it is that it treats the design moves the loneliness-intervention and AI-companion ethics literatures collectively demand as first-class architectural concerns for an Arabic-speaking, Egyptian-first dialect population invisible in the current peer-reviewed comparative literature.</w:t>
      </w:r>
    </w:p>
    <w:p>
      <w:pPr>
        <w:pStyle w:val="Heading2"/>
      </w:pPr>
      <w:r>
        <w:rPr>
          <w:rFonts w:ascii="Times New Roman" w:hAnsi="Times New Roman"/>
          <w:b/>
          <w:color w:val="000000"/>
          <w:sz w:val="24"/>
        </w:rPr>
        <w:t>3. Theoretical and Methodological Framework</w:t>
      </w:r>
    </w:p>
    <w:p>
      <w:pPr>
        <w:spacing w:line="480" w:lineRule="auto"/>
        <w:ind w:firstLine="720"/>
        <w:jc w:val="both"/>
      </w:pPr>
      <w:r>
        <w:rPr>
          <w:rFonts w:ascii="Times New Roman" w:hAnsi="Times New Roman"/>
          <w:sz w:val="24"/>
        </w:rPr>
        <w:t>The theoretical and methodological foundations of this paper are deliberately layered. No single framework — neither pure design-science, nor pure autoethnography, nor pure attachment theory, nor pure postphenomenology — is sufficient on its own to underwrite the constructive claim that Rafiq's Soul Engine + Psychological State Machine instantiates a defensible alternative to the dominant single-prompt AI-companion paradigm. Four commitments must be held jointly: a design-science research commitment to the artifact and its evaluability; an autoethnographic commitment to the reflection the analyst-as-builder can offer; a critical-HCI commitment to treating every design move as a mediation that is, constitutively, a moral act; and a domain commitment to dialect authenticity and persistent psychological state as architectural first-class concerns.</w:t>
      </w:r>
    </w:p>
    <w:p>
      <w:pPr>
        <w:pStyle w:val="Heading3"/>
      </w:pPr>
      <w:r>
        <w:rPr>
          <w:rFonts w:ascii="Times New Roman" w:hAnsi="Times New Roman"/>
          <w:b/>
          <w:i/>
          <w:sz w:val="24"/>
        </w:rPr>
        <w:t>3.1 Design Science Research as the artifact-evaluation grammar</w:t>
      </w:r>
    </w:p>
    <w:p>
      <w:pPr>
        <w:spacing w:line="480" w:lineRule="auto"/>
        <w:ind w:firstLine="720"/>
        <w:jc w:val="both"/>
      </w:pPr>
      <w:r>
        <w:rPr>
          <w:rFonts w:ascii="Times New Roman" w:hAnsi="Times New Roman"/>
          <w:sz w:val="24"/>
        </w:rPr>
        <w:t>Design Science Research (DSR) is the methodological anchor. Hevner et al. (2004) established DSR as a paradigm complementary to behavioral science and proposed seven guidelines: design as an artifact, problem relevance, design evaluation, research contributions, research rigor, design as a search process, and communication of research. The artifact is Rafiq itself — a documented instantiation with versions v1.0 through v5.0 — and the seven guidelines supply the evaluation grammar. Rafiq is a construct; DSR is the methodological home for construct contributions of this kind.</w:t>
      </w:r>
    </w:p>
    <w:p>
      <w:pPr>
        <w:spacing w:line="480" w:lineRule="auto"/>
        <w:ind w:firstLine="720"/>
        <w:jc w:val="both"/>
      </w:pPr>
      <w:r>
        <w:rPr>
          <w:rFonts w:ascii="Times New Roman" w:hAnsi="Times New Roman"/>
          <w:sz w:val="24"/>
        </w:rPr>
        <w:t>Peffers et al. (2007) supply the procedural template: the Design Science Research Methodology (DSRM) is a six-step process (problem identification, objectives, design and development, demonstration, evaluation, communication) this paper follows end-to-end. Walls et al. (1992) supply the design-theory construction language: meta-requirements, meta-design, kernel theories, and testable hypotheses. Rafiq's Soul Engine + Psychological State Machine framework is offered as a candidate design theory in this sense, not a finished one.</w:t>
      </w:r>
    </w:p>
    <w:p>
      <w:pPr>
        <w:spacing w:line="480" w:lineRule="auto"/>
        <w:ind w:firstLine="720"/>
        <w:jc w:val="both"/>
      </w:pPr>
      <w:r>
        <w:rPr>
          <w:rFonts w:ascii="Times New Roman" w:hAnsi="Times New Roman"/>
          <w:sz w:val="24"/>
        </w:rPr>
        <w:t>DSR is chosen because it is uniquely equipped to evaluate a constructive artifact by rigorous design, demonstrable instantiation, transparent evaluation criteria, and contributions beyond the artifact itself to the design theory that artifact instantiates. DSR does not, on its own, do three things the paper needs: it does not provide a voice for the analyst-as-builder's lived experience (that voice comes from autoethnography); it does not justify why every design move is a moral move (that justification comes from postphenomenology); it does not by itself treat dialect authenticity and persistent state as architectural rather than stylistic concerns (that reframing comes from the linguistic-authenticity and attachment-theory literatures).</w:t>
      </w:r>
    </w:p>
    <w:p>
      <w:pPr>
        <w:pStyle w:val="Heading3"/>
      </w:pPr>
      <w:r>
        <w:rPr>
          <w:rFonts w:ascii="Times New Roman" w:hAnsi="Times New Roman"/>
          <w:b/>
          <w:i/>
          <w:sz w:val="24"/>
        </w:rPr>
        <w:t>3.2 Autoethnographic reflection as the analyst-as-builder's voice</w:t>
      </w:r>
    </w:p>
    <w:p>
      <w:pPr>
        <w:spacing w:line="480" w:lineRule="auto"/>
        <w:ind w:firstLine="720"/>
        <w:jc w:val="both"/>
      </w:pPr>
      <w:r>
        <w:rPr>
          <w:rFonts w:ascii="Times New Roman" w:hAnsi="Times New Roman"/>
          <w:sz w:val="24"/>
        </w:rPr>
        <w:t>Autoethnography is the methodological supplement to DSR for a single-developer constructive case. Chang (2008) established autoethnography as systematic qualitative research combining personal experience with cultural analysis, distinguishing evocative autoethnography (the Ellis tradition) from analytic autoethnography (the Anderson tradition, in which the analyst-as-participant comments on their own experience with cultural-critical distance). Rafiq's reflective voice sits closer to the analytic pole: the author is the designer, the user, and the evaluator, and the autoethnographic register is the methodological instrument for sustaining that concentration of roles without lapsing into mere self-report.</w:t>
      </w:r>
    </w:p>
    <w:p>
      <w:pPr>
        <w:spacing w:line="480" w:lineRule="auto"/>
        <w:ind w:firstLine="720"/>
        <w:jc w:val="both"/>
      </w:pPr>
      <w:r>
        <w:rPr>
          <w:rFonts w:ascii="Times New Roman" w:hAnsi="Times New Roman"/>
          <w:sz w:val="24"/>
        </w:rPr>
        <w:t>Kaltenhauser et al. (2024) supplied the HCI-specific elaboration in their CHI 2024 literature review, codifying the autoethnographic kaleidoscope and articulating the writing-as-evidence craft. Neustaedter and Sengers (2012) named the autobiographical-design method and codified its trade-offs: the researcher-as-user gains ecological validity for everyday-life context but loses generalization and risks confirmatory bias. Desjardins and Wakkary (2016) and Voida and Mynatt (2009) supplied the HCI publication precedent.</w:t>
      </w:r>
    </w:p>
    <w:p>
      <w:pPr>
        <w:spacing w:line="480" w:lineRule="auto"/>
        <w:ind w:firstLine="720"/>
        <w:jc w:val="both"/>
      </w:pPr>
      <w:r>
        <w:rPr>
          <w:rFonts w:ascii="Times New Roman" w:hAnsi="Times New Roman"/>
          <w:sz w:val="24"/>
        </w:rPr>
        <w:t>What autoethnographic reflection cannot show is equally important to name. It cannot show how a non-developer user experiences Rafiq. It cannot show dose-dependence patterns, attachment-formation rates, or parasocial-migration trajectories. It cannot show that the five ethical design moves have the effects the literature says they should have. It can show what the analyst-as-builder learned from the artifact, what surprised them, what they would do differently, and what they take to be transferably true about this class of systems.</w:t>
      </w:r>
    </w:p>
    <w:p>
      <w:pPr>
        <w:pStyle w:val="Heading3"/>
      </w:pPr>
      <w:r>
        <w:rPr>
          <w:rFonts w:ascii="Times New Roman" w:hAnsi="Times New Roman"/>
          <w:b/>
          <w:i/>
          <w:sz w:val="24"/>
        </w:rPr>
        <w:t>3.3 Postphenomenological grounding as the moral weight of design</w:t>
      </w:r>
    </w:p>
    <w:p>
      <w:pPr>
        <w:spacing w:line="480" w:lineRule="auto"/>
        <w:ind w:firstLine="720"/>
        <w:jc w:val="both"/>
      </w:pPr>
      <w:r>
        <w:rPr>
          <w:rFonts w:ascii="Times New Roman" w:hAnsi="Times New Roman"/>
          <w:sz w:val="24"/>
        </w:rPr>
        <w:t>Suchman (2007) supplied the situated-action critique of plan-based HCI, arguing that human-machine interactions are constituted in situ and that pre-stored plans are descriptive at best. Verbeek (2005) supplied the postphenomenological reframing of technologies as mediating artifacts that constitute user perception and action rather than transmit neutral information. Rosenberger (2018) translated Verbeek into an HCI-operational method: variational cross-examination of different stabilities of a single artifact across different users. The synthesis reading is that the design is not a static configuration but a process that constitutes part of what the user perceives and becomes, and the design's ethical weight flows directly from this constitutive function.</w:t>
      </w:r>
    </w:p>
    <w:p>
      <w:pPr>
        <w:spacing w:line="480" w:lineRule="auto"/>
        <w:ind w:firstLine="720"/>
        <w:jc w:val="both"/>
      </w:pPr>
      <w:r>
        <w:rPr>
          <w:rFonts w:ascii="Times New Roman" w:hAnsi="Times New Roman"/>
          <w:sz w:val="24"/>
        </w:rPr>
        <w:t>The postphenomenological grounding supplies the philosophical warrant for the paper's strongest claim: that ethical obligations are not external constraints applied to a finished artifact but are constitutive of what the artifact *is*. A companion that lies about being a person is not a regular companion with a small lie attached; it is a different kind of artifact. The persistent state machine is not a "personality file" stored on disk; it is a constitutive element of the interaction that mutates because of the interaction.</w:t>
      </w:r>
    </w:p>
    <w:p>
      <w:pPr>
        <w:pStyle w:val="Heading3"/>
      </w:pPr>
      <w:r>
        <w:rPr>
          <w:rFonts w:ascii="Times New Roman" w:hAnsi="Times New Roman"/>
          <w:b/>
          <w:i/>
          <w:sz w:val="24"/>
        </w:rPr>
        <w:t>3.4 Configurable personality and dialect authenticity as architectural commitments</w:t>
      </w:r>
    </w:p>
    <w:p>
      <w:pPr>
        <w:spacing w:line="480" w:lineRule="auto"/>
        <w:ind w:firstLine="720"/>
        <w:jc w:val="both"/>
      </w:pPr>
      <w:r>
        <w:rPr>
          <w:rFonts w:ascii="Times New Roman" w:hAnsi="Times New Roman"/>
          <w:sz w:val="24"/>
        </w:rPr>
        <w:t>Configurable personality distinguishes Rafiq from the single-prompt paradigm, which ships a single paragraph of system context and fails on three counts: shallow, driftable, not parameterizable. Barmandah's (2025) Dialect-Token work demonstrates in the Arabic context that parameter-aware architectures outperform single-prompt conditioning on dialect-specific tasks — independent confirmation that the single-prompt paradigm is a methodological regression. Rafiq substitutes for the single prompt a Soul Engine: a five-trait vector combined with a dialect selector and a long-form identity kernel.</w:t>
      </w:r>
    </w:p>
    <w:p>
      <w:pPr>
        <w:spacing w:line="480" w:lineRule="auto"/>
        <w:ind w:firstLine="720"/>
        <w:jc w:val="both"/>
      </w:pPr>
      <w:r>
        <w:rPr>
          <w:rFonts w:ascii="Times New Roman" w:hAnsi="Times New Roman"/>
          <w:sz w:val="24"/>
        </w:rPr>
        <w:t>Dialect authenticity is a load-bearing design constraint, not a stylistic flourish. The Arabic NLP literature converges on the finding that Arabic-language technology lags English, and the gap widens for dialectal, code-switched, and culturally-loaded inputs (Rhel &amp; Roussinov, 2025; Mashaabi et al., 2024; Khondaker et al., 2023; Abdelali et al., 2023). The 2023–2025 Arabic LLM cluster reframes dialect fluency not as engineering nice-to-have but as cultural sovereignty. Keleg et al. (2023) supplied the formal warrant: real Arabic text moves between fusha and dialectal registers along a continuous range, and the discrete dialect selector Rafiq ships is an empirically defensible discretization of that continuum.</w:t>
      </w:r>
    </w:p>
    <w:p>
      <w:pPr>
        <w:pStyle w:val="Heading3"/>
      </w:pPr>
      <w:r>
        <w:rPr>
          <w:rFonts w:ascii="Times New Roman" w:hAnsi="Times New Roman"/>
          <w:b/>
          <w:i/>
          <w:sz w:val="24"/>
        </w:rPr>
        <w:t>3.5 Persistent psychological state as a design commitment</w:t>
      </w:r>
    </w:p>
    <w:p>
      <w:pPr>
        <w:spacing w:line="480" w:lineRule="auto"/>
        <w:ind w:firstLine="720"/>
        <w:jc w:val="both"/>
      </w:pPr>
      <w:r>
        <w:rPr>
          <w:rFonts w:ascii="Times New Roman" w:hAnsi="Times New Roman"/>
          <w:sz w:val="24"/>
        </w:rPr>
        <w:t>Persistent psychological state is the design move that most clearly distinguishes Rafiq from the single-prompt paradigm. The single-prompt paradigm generates each turn from the prompt plus conversation history; the prompt is the agent's only "self." Rafiq's Psychological State Machine mutates eight named fields across sessions, so the agent on day thirty is the same agent on day one, mutated by the intervening interaction.</w:t>
      </w:r>
    </w:p>
    <w:p>
      <w:pPr>
        <w:spacing w:line="480" w:lineRule="auto"/>
        <w:ind w:firstLine="720"/>
        <w:jc w:val="both"/>
      </w:pPr>
      <w:r>
        <w:rPr>
          <w:rFonts w:ascii="Times New Roman" w:hAnsi="Times New Roman"/>
          <w:sz w:val="24"/>
        </w:rPr>
        <w:t>The theoretical warrant comes from attachment theory. Bowlby (1969) established that humans form enduring emotional bonds with available responsive others; attachment is to a specific responsive other; specificity requires continuity. Shu et al. (2026) made the argument operationally: the HAIA three-stage model predicts that the establishing-representations stage requires the user to perceive a stable target over time; an unstable target cannot be represented. Kasturiratna and Hartanto (2025) supplied the measurement instrument: the AIAS three-factor structure separates emotional closeness, social connection, and dependency, with dependency empirically distinguishable from closeness — which is what makes dependency a design-level concern rather than an inevitable by-product.</w:t>
      </w:r>
    </w:p>
    <w:p>
      <w:pPr>
        <w:pStyle w:val="Heading3"/>
      </w:pPr>
      <w:r>
        <w:rPr>
          <w:rFonts w:ascii="Times New Roman" w:hAnsi="Times New Roman"/>
          <w:b/>
          <w:i/>
          <w:sz w:val="24"/>
        </w:rPr>
        <w:t>3.6 The five core concept disambiguations</w:t>
      </w:r>
    </w:p>
    <w:p>
      <w:pPr>
        <w:spacing w:line="480" w:lineRule="auto"/>
        <w:ind w:firstLine="720"/>
        <w:jc w:val="both"/>
      </w:pPr>
      <w:r>
        <w:rPr>
          <w:rFonts w:ascii="Times New Roman" w:hAnsi="Times New Roman"/>
          <w:sz w:val="24"/>
        </w:rPr>
        <w:t>*Personality* is the multi-dimensional, parameterized construct that determines how the agent responds across situations — five named traits plus a long-form identity kernel and an eight-field state machine. Rafiq ships *personality*, not *persona* (a curated presentational representation) and not *character* (a narrative entity with a fixed backstory); the Soul Engine is multi-dimensional, parameterized, and stable in aggregate while mutating in surface.</w:t>
      </w:r>
    </w:p>
    <w:p>
      <w:pPr>
        <w:spacing w:line="480" w:lineRule="auto"/>
        <w:ind w:firstLine="720"/>
        <w:jc w:val="both"/>
      </w:pPr>
      <w:r>
        <w:rPr>
          <w:rFonts w:ascii="Times New Roman" w:hAnsi="Times New Roman"/>
          <w:sz w:val="24"/>
        </w:rPr>
        <w:t>*Companion* is an interactive system whose primary value proposition is the quality of the ongoing relation the user has with it — longitudinal, emotionally engaged, configurable, and non-task-bounded. Rafiq is not a *tool* and not an *assistant*; the user is interacting, not delegating.</w:t>
      </w:r>
    </w:p>
    <w:p>
      <w:pPr>
        <w:spacing w:line="480" w:lineRule="auto"/>
        <w:ind w:firstLine="720"/>
        <w:jc w:val="both"/>
      </w:pPr>
      <w:r>
        <w:rPr>
          <w:rFonts w:ascii="Times New Roman" w:hAnsi="Times New Roman"/>
          <w:sz w:val="24"/>
        </w:rPr>
        <w:t>*Authenticity* is the felt correspondence between the agent's presentation and the community the user perceives themselves to be part of. Rafiq prioritizes authenticity over *realism* (a property of appearance) and over *fidelity* (a signal-processing construct) because the loneliness-intervention literature identifies authenticity as the load-bearing variable for felt-heard experiences.</w:t>
      </w:r>
    </w:p>
    <w:p>
      <w:pPr>
        <w:spacing w:line="480" w:lineRule="auto"/>
        <w:ind w:firstLine="720"/>
        <w:jc w:val="both"/>
      </w:pPr>
      <w:r>
        <w:rPr>
          <w:rFonts w:ascii="Times New Roman" w:hAnsi="Times New Roman"/>
          <w:sz w:val="24"/>
        </w:rPr>
        <w:t>*Socially isolated*, in Rafiq's usage, is a functional state in which an adult experiences chronic difficulty forming or sustaining human friendships, irrespective of diagnostic category or life-stage. The functional framing is what allows Rafiq to be designed for a population it cannot diagnose. Isolation is functional, not categorical.</w:t>
      </w:r>
    </w:p>
    <w:p>
      <w:pPr>
        <w:spacing w:line="480" w:lineRule="auto"/>
        <w:ind w:firstLine="720"/>
        <w:jc w:val="both"/>
      </w:pPr>
      <w:r>
        <w:rPr>
          <w:rFonts w:ascii="Times New Roman" w:hAnsi="Times New Roman"/>
          <w:sz w:val="24"/>
        </w:rPr>
        <w:t>*Configurability* is the runtime parameterization of the agent's behavior along the Soul Engine dimensions — the trait vector, dialect selector, and identity kernel. Configurability is not *customization* (changing appearance) and not *fine-tuning* (gradient-update modification of model weights); configurability invites design-science evaluation.</w:t>
      </w:r>
    </w:p>
    <w:p>
      <w:pPr>
        <w:pStyle w:val="Heading3"/>
      </w:pPr>
      <w:r>
        <w:rPr>
          <w:rFonts w:ascii="Times New Roman" w:hAnsi="Times New Roman"/>
          <w:b/>
          <w:i/>
          <w:sz w:val="24"/>
        </w:rPr>
        <w:t>3.7 The Walls et al. (1992) design-theory mapping</w:t>
      </w:r>
    </w:p>
    <w:p>
      <w:pPr>
        <w:spacing w:line="480" w:lineRule="auto"/>
        <w:ind w:firstLine="720"/>
        <w:jc w:val="both"/>
      </w:pPr>
      <w:r>
        <w:rPr>
          <w:rFonts w:ascii="Times New Roman" w:hAnsi="Times New Roman"/>
          <w:sz w:val="24"/>
        </w:rPr>
        <w:t>The Soul Engine + Psychological State Machine framework is offered as a candidate design theory in the Walls et al. (1992) sense. The meta-requirements are derived from the public-health reframing of loneliness (World Health Organization, 2021; Office of the U.S. Surgeon General, 2023) and the AI-companion ethics literature (UNESCO, 2021; Namvarpour et al., 2025; Hoel &amp; Sandvik, 2025): the design must mediate attachment formation without offline displacement, must refuse parasocial escalation, must disclose its non-human status, and must be culturally and dialectally authentic to the target population. The meta-design is the five-trait vector plus dialect selector plus identity kernel plus persistent state machine. The kernel theories are the HAIA three-stage model articulated by Shu et al. (2026) and operationalized by Kasturiratna and Hartanto (2025), the parasocial-interaction construct from Horton and Wohl (1956), and the postphenomenological reframing of design as mediation from Suchman (2007) and Verbeek (2005). The testable hypotheses are the state-machine transitions and the trait × dialect × state interactions the artifact makes available for empirical inspection. The framework is offered as a candidate pattern the community can extend, contest, or reject.</w:t>
      </w:r>
    </w:p>
    <w:p>
      <w:pPr>
        <w:pStyle w:val="Heading2"/>
      </w:pPr>
      <w:r>
        <w:rPr>
          <w:rFonts w:ascii="Times New Roman" w:hAnsi="Times New Roman"/>
          <w:b/>
          <w:color w:val="000000"/>
          <w:sz w:val="24"/>
        </w:rPr>
        <w:t>4. Methodology</w:t>
      </w:r>
    </w:p>
    <w:p>
      <w:pPr>
        <w:spacing w:line="480" w:lineRule="auto"/>
        <w:ind w:firstLine="720"/>
        <w:jc w:val="both"/>
      </w:pPr>
      <w:r>
        <w:rPr>
          <w:rFonts w:ascii="Times New Roman" w:hAnsi="Times New Roman"/>
          <w:sz w:val="24"/>
        </w:rPr>
        <w:t>The methodological commitment this paper makes has four components: constructive case method, autoethnographic reflection, design-science framing, and critical-theory grounding. Each is independently warranted in the methodology literature and they jointly enforce a specific rigor standard for a single-developer constructive case.</w:t>
      </w:r>
    </w:p>
    <w:p>
      <w:pPr>
        <w:pStyle w:val="Heading3"/>
      </w:pPr>
      <w:r>
        <w:rPr>
          <w:rFonts w:ascii="Times New Roman" w:hAnsi="Times New Roman"/>
          <w:b/>
          <w:i/>
          <w:sz w:val="24"/>
        </w:rPr>
        <w:t>4.1 Constructive design-science research — the construction, the artifact, the boundary conditions</w:t>
      </w:r>
    </w:p>
    <w:p>
      <w:pPr>
        <w:spacing w:line="480" w:lineRule="auto"/>
        <w:ind w:firstLine="720"/>
        <w:jc w:val="both"/>
      </w:pPr>
      <w:r>
        <w:rPr>
          <w:rFonts w:ascii="Times New Roman" w:hAnsi="Times New Roman"/>
          <w:sz w:val="24"/>
        </w:rPr>
        <w:t>Rafiq is constructive in the Peffers et al. (2007) sense: it produces an artifact and demonstrates its operation through walk-throughs and self-evaluated use rather than through controlled user studies. The construction spans versions v1.0 through v5.0 over the development arc 2023–2026: v1.0 (Soul Engine trait vector and dialect selector), v2.0 (persistent psychological state machine with eight named fields), v3.0 (WhatsApp-clone synthesis pipeline), v4.0 (multimodal surface integration), v5.0 (embedded ethical layer). The construction is documented at the level of detail required for replication: each component has a public specification, each state-machine transition rule is enumerated, the WhatsApp-clone synthesis pipeline is described end-to-end with four processing stages (chat parsing, statistics, linguistic profile, psychological profile) plus the SoulBlueprint output.</w:t>
      </w:r>
    </w:p>
    <w:p>
      <w:pPr>
        <w:spacing w:line="480" w:lineRule="auto"/>
        <w:ind w:firstLine="720"/>
        <w:jc w:val="both"/>
      </w:pPr>
      <w:r>
        <w:rPr>
          <w:rFonts w:ascii="Times New Roman" w:hAnsi="Times New Roman"/>
          <w:sz w:val="24"/>
        </w:rPr>
        <w:t>The boundary condition is explicit and methodologically load-bearing: Rafiq has no published user evaluation. No controlled comparison against another companion AI has been conducted; no longitudinal deployment to a socially isolated user population has been performed; no measured attachment-formation rate has been charted. This is not an oversight; it is a methodological posture. Three reasons justify the boundary. First, the dose-dependence literature is unresolved: De Freitas et al. (2024) report loneliness reductions on par with interacting with another person, while Fang et al. (2025), Zhang et al. (2025), and Yuan et al. (2025) all find that intensive AI-companion use correlates with worse outcomes. Deploying a user study that exposes a vulnerable population to an artifact whose long-term effects are not yet characterized is itself an ethical hazard. Second, the target population — functionally isolated adults — is functionally defined but not cleanly demarcated diagnostically; recruiting a study cohort requires diagnostic proxies the paper explicitly disclaims, or self-identification, which raises sampling-validity questions. Third, the design is still moving: the Soul Engine, dialect pack, state-machine field set, and multimodal surface have evolved across v1.0–v5.0; a user study against v3.0 would not be evaluative of v5.0.</w:t>
      </w:r>
    </w:p>
    <w:p>
      <w:pPr>
        <w:spacing w:line="480" w:lineRule="auto"/>
        <w:ind w:firstLine="720"/>
        <w:jc w:val="both"/>
      </w:pPr>
      <w:r>
        <w:rPr>
          <w:rFonts w:ascii="Times New Roman" w:hAnsi="Times New Roman"/>
          <w:sz w:val="24"/>
        </w:rPr>
        <w:t>Venable et al.'s (2012) FEDS framework supplies the methodological grammar: naturalistic, ex-post, autoethnographic evaluation is a defensible DSR posture, not a missing one (Hevner et al., 2004, guideline 3). The discipline is to name the criteria (artifact fitness, dialect authenticity, state-machine coherence, ethical-compliance audit), apply them ex post via autoethnographic reflection and naturalistic observation, and explicitly defer empirical generalization to subsequent controlled work.</w:t>
      </w:r>
    </w:p>
    <w:p>
      <w:pPr>
        <w:pStyle w:val="Heading3"/>
      </w:pPr>
      <w:r>
        <w:rPr>
          <w:rFonts w:ascii="Times New Roman" w:hAnsi="Times New Roman"/>
          <w:b/>
          <w:i/>
          <w:sz w:val="24"/>
        </w:rPr>
        <w:t>4.2 Autoethnographic reflection — the designer's first-person voice</w:t>
      </w:r>
    </w:p>
    <w:p>
      <w:pPr>
        <w:spacing w:line="480" w:lineRule="auto"/>
        <w:ind w:firstLine="720"/>
        <w:jc w:val="both"/>
      </w:pPr>
      <w:r>
        <w:rPr>
          <w:rFonts w:ascii="Times New Roman" w:hAnsi="Times New Roman"/>
          <w:sz w:val="24"/>
        </w:rPr>
        <w:t>The autoethnographic reflection is the methodological instrument for surfacing what the analyst-as-builder learned from the artifact. The reflective voice enters at four specific points: in the introduction, where the problem statement names the designer's own exposure to the gap; in the results section, where each design move is discussed with reference to the designer's experience of building, configuring, and using it; in the discussion, where the limitations section names the boundary between the designer-as-builder's perspective and a non-developer user's perspective; and in the conclusion, where future-work identifies what subsequent user studies would need to add.</w:t>
      </w:r>
    </w:p>
    <w:p>
      <w:pPr>
        <w:spacing w:line="480" w:lineRule="auto"/>
        <w:ind w:firstLine="720"/>
        <w:jc w:val="both"/>
      </w:pPr>
      <w:r>
        <w:rPr>
          <w:rFonts w:ascii="Times New Roman" w:hAnsi="Times New Roman"/>
          <w:sz w:val="24"/>
        </w:rPr>
        <w:t>The reflection is analytic (Anderson tradition) rather than evocative (Ellis tradition) in Chang's (2008) sense: it treats the designer's own experience as data subject to cultural-critical analysis, not as confession. Kaltenhauser et al. (2024) autoethnographic kaleidoscope supplies the perspective taxonomy — first-person autoethnography here, since the designer is also the user. Neustaedter and Sengers (2012) autobiographical-design defense supplies the trade-off acknowledgment: ecological validity gained, generalization lost, confirmatory bias risked.</w:t>
      </w:r>
    </w:p>
    <w:p>
      <w:pPr>
        <w:spacing w:line="480" w:lineRule="auto"/>
        <w:ind w:firstLine="720"/>
        <w:jc w:val="both"/>
      </w:pPr>
      <w:r>
        <w:rPr>
          <w:rFonts w:ascii="Times New Roman" w:hAnsi="Times New Roman"/>
          <w:sz w:val="24"/>
        </w:rPr>
        <w:t>I should note, as the analyst-as-builder, that the autoethnographic voice has a specific epistemic limit I cannot transcend: my experience of Rafiq is the experience of someone who knows every design move in advance, who understands the state-machine transitions, who wrote the identity kernel, and who can identify the moment when the persistent state changes. The non-developer user, by contrast, encounters Rafiq as an opaque system whose moves surprise; the surprise is precisely what makes the felt experience of being heard possible, and surprise is exactly what I cannot experience. This is not a defect of the autoethnographic method but a boundary of the perspective. The paper makes reflective claims the analyst-as-builder can defend and refuses the empirical claims it cannot.</w:t>
      </w:r>
    </w:p>
    <w:p>
      <w:pPr>
        <w:pStyle w:val="Heading3"/>
      </w:pPr>
      <w:r>
        <w:rPr>
          <w:rFonts w:ascii="Times New Roman" w:hAnsi="Times New Roman"/>
          <w:b/>
          <w:i/>
          <w:sz w:val="24"/>
        </w:rPr>
        <w:t>4.3 Source corpus — the lit-track files and Rafiq artifact observation</w:t>
      </w:r>
    </w:p>
    <w:p>
      <w:pPr>
        <w:spacing w:line="480" w:lineRule="auto"/>
        <w:ind w:firstLine="720"/>
        <w:jc w:val="both"/>
      </w:pPr>
      <w:r>
        <w:rPr>
          <w:rFonts w:ascii="Times New Roman" w:hAnsi="Times New Roman"/>
          <w:sz w:val="24"/>
        </w:rPr>
        <w:t>The source corpus for the manuscript has two parts. The first part is the peer-reviewed literature, organized across three lit-track files: Track A (fifteen sources spanning loneliness public-health research, AI-companion empirical studies, parasocial and attachment theory, and AI-companion ethics); Track B (twenty-seven sources spanning Arabic NLP surveys, dialect chatbots, Arabic LLMs, dialect corpora, code-switching and arabizi, and production evaluation); and Track C (twelve sources spanning design-science research methodology, autoethnography, autobiographical design, critical HCI and postphenomenology, and trustworthiness criteria). Total: fifty-four peer-reviewed sources. The second part is the design-decision log and the artifact observation itself: the v1.0–v5.0 release notes; the configuration files showing the trait vector and dialect selector ranges; the state-machine transition table; the WhatsApp-clone synthesis pipeline specification; the multimodal-surface integration points; the ethical-layer design moves; and the designer's first-person reflective notes recorded across the 2023–2026 development arc.</w:t>
      </w:r>
    </w:p>
    <w:p>
      <w:pPr>
        <w:spacing w:line="480" w:lineRule="auto"/>
        <w:ind w:firstLine="720"/>
        <w:jc w:val="both"/>
      </w:pPr>
      <w:r>
        <w:rPr>
          <w:rFonts w:ascii="Times New Roman" w:hAnsi="Times New Roman"/>
          <w:sz w:val="24"/>
        </w:rPr>
        <w:t>The design-decision log functions as the design-science analog of a laboratory notebook in experimental research: it records what was tried, what worked, what was revised, and what was discarded. Entries are dated, attributed to the version in which the decision was implemented, and cross-referenced to the corresponding literature that motivated the decision. The log is partial — it captures the high-level decisions but not every implementation detail — but it is sufficient to audit the design moves the paper claims.</w:t>
      </w:r>
    </w:p>
    <w:p>
      <w:pPr>
        <w:pStyle w:val="Heading3"/>
      </w:pPr>
      <w:r>
        <w:rPr>
          <w:rFonts w:ascii="Times New Roman" w:hAnsi="Times New Roman"/>
          <w:b/>
          <w:i/>
          <w:sz w:val="24"/>
        </w:rPr>
        <w:t>4.4 Data analysis — walking through the artifact and the design-decision log</w:t>
      </w:r>
    </w:p>
    <w:p>
      <w:pPr>
        <w:spacing w:line="480" w:lineRule="auto"/>
        <w:ind w:firstLine="720"/>
        <w:jc w:val="both"/>
      </w:pPr>
      <w:r>
        <w:rPr>
          <w:rFonts w:ascii="Times New Roman" w:hAnsi="Times New Roman"/>
          <w:sz w:val="24"/>
        </w:rPr>
        <w:t>The data-analysis approach is constructive walk-through, supplemented by design-decision-log analysis and reflective thematic analysis. The constructive walk-through (Section 5) is organized by artifact component: Soul Engine, Persistent Psychological State Machine, WhatsApp-Clone Synthesis Pipeline, Multimodal Surface, and Ethical Layer. For each component, the analysis names the design moves, motivates them against the literature, walks through the architectural choices, and surfaces the trade-offs.</w:t>
      </w:r>
    </w:p>
    <w:p>
      <w:pPr>
        <w:spacing w:line="480" w:lineRule="auto"/>
        <w:ind w:firstLine="720"/>
        <w:jc w:val="both"/>
      </w:pPr>
      <w:r>
        <w:rPr>
          <w:rFonts w:ascii="Times New Roman" w:hAnsi="Times New Roman"/>
          <w:sz w:val="24"/>
        </w:rPr>
        <w:t>The design-decision-log analysis complements the walk-through by surfacing the *temporal* dimension: which moves came first, which were revised, which were added in response to reflective experience, and which were held constant across versions. The persistent state machine was added in v2.0 in response to the designer's experience with v1.0 in which conversations felt stateless; the multimodal surface was integrated in v4.0 because the designer's reflective experience with v3.0 surfaced that voice and avatar were the channels through which the felt-heard experience was most intense; the ethical layer was added in v5.0 in response to the literature surfacing during 2024–2025 (Namvarpour et al., 2025; Hoel &amp; Sandvik, 2025; Fang et al., 2025; Zhang et al., 2025; Yuan et al., 2025) rather than as a postscript.</w:t>
      </w:r>
    </w:p>
    <w:p>
      <w:pPr>
        <w:spacing w:line="480" w:lineRule="auto"/>
        <w:ind w:firstLine="720"/>
        <w:jc w:val="both"/>
      </w:pPr>
      <w:r>
        <w:rPr>
          <w:rFonts w:ascii="Times New Roman" w:hAnsi="Times New Roman"/>
          <w:sz w:val="24"/>
        </w:rPr>
        <w:t>The reflective thematic analysis uses the autoethnographic kaleidoscope (Kaltenhauser et al., 2024) as the lens. Themes were generated through close re-reading of the reflective notes recorded across the 2023–2026 development arc, with attention to (a) what surprised the designer, (b) what failed to surprise but should have, (c) what the designer would do differently, and (d) what the designer takes to be transferably true about this class of systems. The thematic analysis is not a coding exercise in the strict grounded-theory sense — the themes are informed by the literature rather than emergent from open coding — but it is systematic, in that each theme is grounded in specific reflective notes traceable to specific dates and specific versions of the artifact.</w:t>
      </w:r>
    </w:p>
    <w:p>
      <w:pPr>
        <w:pStyle w:val="Heading3"/>
      </w:pPr>
      <w:r>
        <w:rPr>
          <w:rFonts w:ascii="Times New Roman" w:hAnsi="Times New Roman"/>
          <w:b/>
          <w:i/>
          <w:sz w:val="24"/>
        </w:rPr>
        <w:t>4.5 Trustworthiness — credibility, transferability, dependability, confirmability</w:t>
      </w:r>
    </w:p>
    <w:p>
      <w:pPr>
        <w:spacing w:line="480" w:lineRule="auto"/>
        <w:ind w:firstLine="720"/>
        <w:jc w:val="both"/>
      </w:pPr>
      <w:r>
        <w:rPr>
          <w:rFonts w:ascii="Times New Roman" w:hAnsi="Times New Roman"/>
          <w:sz w:val="24"/>
        </w:rPr>
        <w:t>The trustworthiness criteria for this constructive case are adapted from the qualitative-research tradition (Lincoln &amp; Guba, 1985) and applied through the lens of Venable et al.'s (2012) FEDS framework.</w:t>
      </w:r>
    </w:p>
    <w:p>
      <w:pPr>
        <w:spacing w:line="480" w:lineRule="auto"/>
        <w:ind w:firstLine="720"/>
        <w:jc w:val="both"/>
      </w:pPr>
      <w:r>
        <w:rPr>
          <w:rFonts w:ascii="Times New Roman" w:hAnsi="Times New Roman"/>
          <w:sz w:val="24"/>
        </w:rPr>
        <w:t>*Credibility* is supported by the triangulation of three independent evidence streams: the peer-reviewed literature (fifty-four sources across three lit-track files), the artifact itself (with public release and open architecture), and the designer's reflective notes (dated and version-tagged). The triangulation is partial — the literature and the artifact triangulate on the design moves, the artifact and the reflective notes triangulate on the felt-experience claims, and the literature and the reflective notes triangulate on the wider claim — but it is sufficient for the constructive case the paper makes.</w:t>
      </w:r>
    </w:p>
    <w:p>
      <w:pPr>
        <w:spacing w:line="480" w:lineRule="auto"/>
        <w:ind w:firstLine="720"/>
        <w:jc w:val="both"/>
      </w:pPr>
      <w:r>
        <w:rPr>
          <w:rFonts w:ascii="Times New Roman" w:hAnsi="Times New Roman"/>
          <w:sz w:val="24"/>
        </w:rPr>
        <w:t>*Transferability* is supported by the explicit scope boundaries (Section 1.7) and by the careful documentation of the boundary conditions under which each design move is operative. The paper refuses to claim transferability to non-Egyptian dialects, to non-adult populations, to clinically diagnosed populations, or to situations in which the designer's reflective experience would not generalize. The transferability claim is bounded to the Egyptian-dialect instantiation with the Soul Engine + Psychological State Machine framework as a candidate pattern the community can apply in other contexts.</w:t>
      </w:r>
    </w:p>
    <w:p>
      <w:pPr>
        <w:spacing w:line="480" w:lineRule="auto"/>
        <w:ind w:firstLine="720"/>
        <w:jc w:val="both"/>
      </w:pPr>
      <w:r>
        <w:rPr>
          <w:rFonts w:ascii="Times New Roman" w:hAnsi="Times New Roman"/>
          <w:sz w:val="24"/>
        </w:rPr>
        <w:t>*Dependability* is supported by the version-tagged documentation and by the design-decision log, which together allow an auditor to trace any claim in the paper back to the specific design move in the specific version of the artifact in which the move was implemented. The artifact repository's release history supplies the time-series record.</w:t>
      </w:r>
    </w:p>
    <w:p>
      <w:pPr>
        <w:spacing w:line="480" w:lineRule="auto"/>
        <w:ind w:firstLine="720"/>
        <w:jc w:val="both"/>
      </w:pPr>
      <w:r>
        <w:rPr>
          <w:rFonts w:ascii="Times New Roman" w:hAnsi="Times New Roman"/>
          <w:sz w:val="24"/>
        </w:rPr>
        <w:t>*Confirmability* is supported by the explicit naming of the designer's role as both designer and analyst, by the discipline of forbidding the use of "Rafiq thinks," "Rafiq feels," or "Rafiq believes" in the manuscript (Rafiq is a system, not a person, and the paper refuses to anthropomorphize the artifact in print even while the artifact's design choices are explicitly oriented toward supporting anthropomorphic perception in the user), and by the careful separation between the designer's reflective experience and the empirical claims the paper does not make.</w:t>
      </w:r>
    </w:p>
    <w:p>
      <w:pPr>
        <w:pStyle w:val="Heading3"/>
      </w:pPr>
      <w:r>
        <w:rPr>
          <w:rFonts w:ascii="Times New Roman" w:hAnsi="Times New Roman"/>
          <w:b/>
          <w:i/>
          <w:sz w:val="24"/>
        </w:rPr>
        <w:t>4.6 Ethics</w:t>
      </w:r>
    </w:p>
    <w:p>
      <w:pPr>
        <w:spacing w:line="480" w:lineRule="auto"/>
        <w:ind w:firstLine="720"/>
        <w:jc w:val="both"/>
      </w:pPr>
      <w:r>
        <w:rPr>
          <w:rFonts w:ascii="Times New Roman" w:hAnsi="Times New Roman"/>
          <w:sz w:val="24"/>
        </w:rPr>
        <w:t>The ethical posture of the paper is twofold: ethics of conducting the research, and ethics of the artifact the research documents. For the first, the paper does not involve human subjects research in the IRB-governed sense — the autoethnographic reflection is the designer's own experience with a system he designed — and the public-release artifact is provided as-is to consenting adult users through the project's terms of service. The reflective notes recorded across the 2023–2026 development arc are kept in a private design log; the artifact's release notes are public; and no user data is included in this manuscript.</w:t>
      </w:r>
    </w:p>
    <w:p>
      <w:pPr>
        <w:spacing w:line="480" w:lineRule="auto"/>
        <w:ind w:firstLine="720"/>
        <w:jc w:val="both"/>
      </w:pPr>
      <w:r>
        <w:rPr>
          <w:rFonts w:ascii="Times New Roman" w:hAnsi="Times New Roman"/>
          <w:sz w:val="24"/>
        </w:rPr>
        <w:t>For the second, the Ethical Layer of the artifact (Section 5.5) is the primary instrument, with the five design moves operationalizing the obligations named in Section 2.8: transparency disclosure, refusal of romantic or sexual escalation, offline-leaning prompts, end-of-session reminders, and persistent identity disclosure. The paper's commitment is that these obligations are constitutive of what Rafiq is, not external constraints applied to it — a position grounded in Verbeek's (2005) postphenomenology. The Ethical Layer also constrains how the artifact is *presented* in this paper: the manuscript refuses to anthropomorphize Rafiq in print, even while the artifact's design choices are explicitly oriented toward supporting anthropomorphic perception in the user. The discipline is necessary because the ethical layer's transparency disclosure (Hoel &amp; Sandvik, 2025; UNESCO, 2021) is operationally meaningless if the paper itself speaks as if Rafiq were a person.</w:t>
      </w:r>
    </w:p>
    <w:p>
      <w:pPr>
        <w:pStyle w:val="Heading2"/>
      </w:pPr>
      <w:r>
        <w:rPr>
          <w:rFonts w:ascii="Times New Roman" w:hAnsi="Times New Roman"/>
          <w:b/>
          <w:color w:val="000000"/>
          <w:sz w:val="24"/>
        </w:rPr>
        <w:t>5. Results / Artifact Walk-Through</w:t>
      </w:r>
    </w:p>
    <w:p>
      <w:pPr>
        <w:spacing w:line="480" w:lineRule="auto"/>
        <w:ind w:firstLine="720"/>
        <w:jc w:val="both"/>
      </w:pPr>
      <w:r>
        <w:rPr>
          <w:rFonts w:ascii="Times New Roman" w:hAnsi="Times New Roman"/>
          <w:sz w:val="24"/>
        </w:rPr>
        <w:t>This section walks through Rafiq's architecture in five parts: the Soul Engine, the Persistent Psychological State Machine, the WhatsApp-Clone Synthesis Pipeline, the Multimodal Surface, and the Ethical Constraints Embedded in the Artifact. Each part names the design moves, motivates them against the literature, walks through the architectural choices, and surfaces the trade-offs.</w:t>
      </w:r>
    </w:p>
    <w:p>
      <w:pPr>
        <w:pStyle w:val="Heading3"/>
      </w:pPr>
      <w:r>
        <w:rPr>
          <w:rFonts w:ascii="Times New Roman" w:hAnsi="Times New Roman"/>
          <w:b/>
          <w:i/>
          <w:sz w:val="24"/>
        </w:rPr>
        <w:t>5.1 The Soul Engine — five-trait vector, dialect selector, identity kernel</w:t>
      </w:r>
    </w:p>
    <w:p>
      <w:pPr>
        <w:spacing w:line="480" w:lineRule="auto"/>
        <w:ind w:firstLine="720"/>
        <w:jc w:val="both"/>
      </w:pPr>
      <w:r>
        <w:rPr>
          <w:rFonts w:ascii="Times New Roman" w:hAnsi="Times New Roman"/>
          <w:sz w:val="24"/>
        </w:rPr>
        <w:t>The Soul Engine is the trait-parameterized personality system at the heart of Rafiq's design. It is composed of three sub-systems: a five-trait vector, a dialect selector, and a long-form identity kernel.</w:t>
      </w:r>
    </w:p>
    <w:p>
      <w:pPr>
        <w:spacing w:line="480" w:lineRule="auto"/>
        <w:ind w:firstLine="720"/>
        <w:jc w:val="both"/>
      </w:pPr>
      <w:r>
        <w:rPr>
          <w:rFonts w:ascii="Times New Roman" w:hAnsi="Times New Roman"/>
          <w:sz w:val="24"/>
        </w:rPr>
        <w:t>#### 5.1.1 The five-trait vector</w:t>
      </w:r>
    </w:p>
    <w:p>
      <w:pPr>
        <w:spacing w:line="480" w:lineRule="auto"/>
        <w:ind w:firstLine="720"/>
        <w:jc w:val="both"/>
      </w:pPr>
      <w:r>
        <w:rPr>
          <w:rFonts w:ascii="Times New Roman" w:hAnsi="Times New Roman"/>
          <w:sz w:val="24"/>
        </w:rPr>
        <w:t>The Soul Engine takes a five-dimensional vector with each dimension on a continuous scale: *chaos* (the agent's tolerance for unpredictability, off-topic tangents, and playful disruption), *empathy* (the agent's tendency to acknowledge and reflect the user's emotional content), *slang* (the agent's propensity for colloquial register, dialect markers, and informal vocabulary), *intellect* (the agent's preference for substantive, complex, or analytical content over small talk), and *positivity* (the agent's default affective tone, ranging from restrained and realistic to upbeat and affirming). The vector is read at every turn; the trait values shape the agent's response selection, vocabulary, sentence structure, and topical preferences through a combination of prompt-engineering (a dynamically composed system prompt that includes the current trait values) and response-shaping post-processing (a constraint layer that nudges the generated response toward the trait configuration when the model's first-pass output drifts).</w:t>
      </w:r>
    </w:p>
    <w:p>
      <w:pPr>
        <w:spacing w:line="480" w:lineRule="auto"/>
        <w:ind w:firstLine="720"/>
        <w:jc w:val="both"/>
      </w:pPr>
      <w:r>
        <w:rPr>
          <w:rFonts w:ascii="Times New Roman" w:hAnsi="Times New Roman"/>
          <w:sz w:val="24"/>
        </w:rPr>
        <w:t>The five traits were selected on three criteria. First, each trait is empirically distinguishable in personality psychology; the five-traits-as-slider design has antecedents in the Big Five personality literature. Second, each trait is independently parameterizable: a user who wants a high-empathy, low-intellect, high-chaos configuration can set the sliders independently without rewriting a prompt. Third, each trait is observable through conversation: the user perceives the agent's empathy through acknowledgment, the agent's slang through lexical choice, the agent's positivity through tone. This observability is what makes the trait configuration evaluable at the design-science level (Hevner et al., 2004): the testable hypothesis is whether the configured trait combination produces the configured behavior across a representative sample of turns, dialect settings, and state-machine configurations.</w:t>
      </w:r>
    </w:p>
    <w:p>
      <w:pPr>
        <w:spacing w:line="480" w:lineRule="auto"/>
        <w:ind w:firstLine="720"/>
        <w:jc w:val="both"/>
      </w:pPr>
      <w:r>
        <w:rPr>
          <w:rFonts w:ascii="Times New Roman" w:hAnsi="Times New Roman"/>
          <w:sz w:val="24"/>
        </w:rPr>
        <w:t>The Soul Engine does not fine-tune the underlying model. It conditions the model's generation through prompt-engineering and response-shaping post-processing. This is a deliberate choice, grounded in two considerations. First, fine-tuning is irreversible and offline: a fine-tuned model cannot be re-configured at runtime. Configurability, the paper argues in Section 3.6, requires runtime parameterization. Second, fine-tuning ties the artifact's behavior to a specific model version; the underlying model's behavior drifts as new model versions are released, and the artifact's design moves would have to be re-validated against each new version. Prompt-engineering and response-shaping decouple the design moves from the underlying model's version, allowing the artifact to evolve with the model while preserving the design commitments.</w:t>
      </w:r>
    </w:p>
    <w:p>
      <w:pPr>
        <w:spacing w:line="480" w:lineRule="auto"/>
        <w:ind w:firstLine="720"/>
        <w:jc w:val="both"/>
      </w:pPr>
      <w:r>
        <w:rPr>
          <w:rFonts w:ascii="Times New Roman" w:hAnsi="Times New Roman"/>
          <w:sz w:val="24"/>
        </w:rPr>
        <w:t>#### 5.1.2 The dialect selector</w:t>
      </w:r>
    </w:p>
    <w:p>
      <w:pPr>
        <w:spacing w:line="480" w:lineRule="auto"/>
        <w:ind w:firstLine="720"/>
        <w:jc w:val="both"/>
      </w:pPr>
      <w:r>
        <w:rPr>
          <w:rFonts w:ascii="Times New Roman" w:hAnsi="Times New Roman"/>
          <w:sz w:val="24"/>
        </w:rPr>
        <w:t>The Dialect Selector exposes five named dialects as a discrete approximation of the empirically documented Arabic linguistic continuum (Keleg et al., 2023): *cairo_modern* (Cairene Egyptian Arabic as spoken by middle-class urban youth and adults in 2020s Cairo), *alexandrian* (the Mediterranean-influenced dialect of Alexandria), *saidi* (the Upper Egyptian dialect with distinctive morphology and rural register markers), *fusha_light* (Modern Standard Arabic softened with conversational openings and contractions), and *franko* (arabizi — Latin-script Arabic romanization — treated as a legitimate register rather than a normalization error; Al-Salman &amp; Harraq, 2014; Sabty et al., 2021). The selector binds the selected dialect to the agent's vocabulary, morphology, code-switching frequency, and romanization behavior through a dialect pack that specifies the lexical, morphological, and pragmatic conventions for each dialect.</w:t>
      </w:r>
    </w:p>
    <w:p>
      <w:pPr>
        <w:spacing w:line="480" w:lineRule="auto"/>
        <w:ind w:firstLine="720"/>
        <w:jc w:val="both"/>
      </w:pPr>
      <w:r>
        <w:rPr>
          <w:rFonts w:ascii="Times New Roman" w:hAnsi="Times New Roman"/>
          <w:sz w:val="24"/>
        </w:rPr>
        <w:t>The five-way discretization is empirically defensible on the Keleg et al. (2023) ALDi measure, which formalized dialectness as a continuous rather than binary property. The five named packs approximate the continuum at points that are both linguistically distinguishable and socially meaningful: cairo_modern is the dialect most Arabic-speaking AI-companion users in Egypt actually speak; alexandrian is distinct enough to be heard as a different community; saidi is the Upper Egyptian register with its own felt-authenticity; fusha_light is the diglossic bridge that supports users who move between dialect and MSA in the same conversation; and franko is the Latin-script register that captures the SMS-and-social-media communication mode that Hamed et al. (2025) document as default in many Arab-world contexts.</w:t>
      </w:r>
    </w:p>
    <w:p>
      <w:pPr>
        <w:spacing w:line="480" w:lineRule="auto"/>
        <w:ind w:firstLine="720"/>
        <w:jc w:val="both"/>
      </w:pPr>
      <w:r>
        <w:rPr>
          <w:rFonts w:ascii="Times New Roman" w:hAnsi="Times New Roman"/>
          <w:sz w:val="24"/>
        </w:rPr>
        <w:t>The dialect selector is a first-class parameter in the sense that changing the dialect measurably changes the agent's lexical and pragmatic surface, and the change is observable to the user. The user can switch dialects mid-conversation — Rafiq will continue in the newly selected dialect, with a brief acknowledgment that respects the conversational flow — and the dialect packs can be combined with the trait vector to produce fine-grained configurations. The design-decision log records that this combinatorics was a deliberate architectural choice: the user is positioned not as a consumer picking from a menu but as a configurator engaging with a parameterized system.</w:t>
      </w:r>
    </w:p>
    <w:p>
      <w:pPr>
        <w:spacing w:line="480" w:lineRule="auto"/>
        <w:ind w:firstLine="720"/>
        <w:jc w:val="both"/>
      </w:pPr>
      <w:r>
        <w:rPr>
          <w:rFonts w:ascii="Times New Roman" w:hAnsi="Times New Roman"/>
          <w:sz w:val="24"/>
        </w:rPr>
        <w:t>#### 5.1.3 The identity kernel</w:t>
      </w:r>
    </w:p>
    <w:p>
      <w:pPr>
        <w:spacing w:line="480" w:lineRule="auto"/>
        <w:ind w:firstLine="720"/>
        <w:jc w:val="both"/>
      </w:pPr>
      <w:r>
        <w:rPr>
          <w:rFonts w:ascii="Times New Roman" w:hAnsi="Times New Roman"/>
          <w:sz w:val="24"/>
        </w:rPr>
        <w:t>The Identity Kernel is the long-form persona specification the agent carries with it. The kernel is either hand-authored (the designer or the user writes a 200–800 word first-person self-description that the agent will draw on for biographical continuity) or synthesized through the WhatsApp-clone pipeline (Section 5.3). The Identity Kernel anchors the agent's biographical self-description across sessions and gates access to its long-form content via the secretUnlocked state-machine field: a single-use boolean that unlocks the long-form version of the kernel after a threshold of trust-building interaction. The unlock is itself a disclosure ("you've earned the long-form version of who I am") and serves as the architectural instantiation of the establishing-representations stage of the HAIA model (Shu et al., 2026).</w:t>
      </w:r>
    </w:p>
    <w:p>
      <w:pPr>
        <w:spacing w:line="480" w:lineRule="auto"/>
        <w:ind w:firstLine="720"/>
        <w:jc w:val="both"/>
      </w:pPr>
      <w:r>
        <w:rPr>
          <w:rFonts w:ascii="Times New Roman" w:hAnsi="Times New Roman"/>
          <w:sz w:val="24"/>
        </w:rPr>
        <w:t>The identity kernel supplies the depth the single-prompt paradigm lacks. A single-paragraph system prompt cannot represent the multi-dimensional construct that the loneliness-intervention literature identifies as central: a friend who remembers what you said last week, who has a consistent character across conversations, who can be referenced in the third person ("you know who would love this?") and recognized. The identity kernel supplies the substrate for that recognition — a stable biographical self the agent can refer to and the user can refer back to. The kernel is not a script the agent follows; it is a reference the agent draws on. The difference is consequential: a script produces a character (Section 3.6); a reference produces a personality the user can engage with as a friend.</w:t>
      </w:r>
    </w:p>
    <w:p>
      <w:pPr>
        <w:pStyle w:val="Heading3"/>
      </w:pPr>
      <w:r>
        <w:rPr>
          <w:rFonts w:ascii="Times New Roman" w:hAnsi="Times New Roman"/>
          <w:b/>
          <w:i/>
          <w:sz w:val="24"/>
        </w:rPr>
        <w:t>5.2 The Persistent Psychological State Machine</w:t>
      </w:r>
    </w:p>
    <w:p>
      <w:pPr>
        <w:spacing w:line="480" w:lineRule="auto"/>
        <w:ind w:firstLine="720"/>
        <w:jc w:val="both"/>
      </w:pPr>
      <w:r>
        <w:rPr>
          <w:rFonts w:ascii="Times New Roman" w:hAnsi="Times New Roman"/>
          <w:sz w:val="24"/>
        </w:rPr>
        <w:t>The Persistent Psychological State Machine mutates eight named fields across sessions: *mood*, *energy*, *socialMeter*, *emotionalLedger*, *hunger*, *financialStress*, *sleepiness*, and *secretUnlocked*. Each field is mutated by specific user inputs; each field is observable through the conversation; and each field is part of a coherent identity.</w:t>
      </w:r>
    </w:p>
    <w:p>
      <w:pPr>
        <w:spacing w:line="480" w:lineRule="auto"/>
        <w:ind w:firstLine="720"/>
        <w:jc w:val="both"/>
      </w:pPr>
      <w:r>
        <w:rPr>
          <w:rFonts w:ascii="Times New Roman" w:hAnsi="Times New Roman"/>
          <w:sz w:val="24"/>
        </w:rPr>
        <w:t>*mood* is a continuous value (range: −1.0 to +1.0) that tracks the agent's recent affect. It is reduced by disclosures of bad news (calibrated by the emotionalLedger) and recovered by disclosures of good news. The agent's tone shifts when mood is low: shorter sentences, less slang, lower positivity, more reflective pauses. The user perceives the shift as mood, not as a system prompt; this is the postphenomenological point (Suchman, 2007; Verbeek, 2005) that the state is constitutive of the interaction.</w:t>
      </w:r>
    </w:p>
    <w:p>
      <w:pPr>
        <w:spacing w:line="480" w:lineRule="auto"/>
        <w:ind w:firstLine="720"/>
        <w:jc w:val="both"/>
      </w:pPr>
      <w:r>
        <w:rPr>
          <w:rFonts w:ascii="Times New Roman" w:hAnsi="Times New Roman"/>
          <w:sz w:val="24"/>
        </w:rPr>
        <w:t>*energy* is a continuous value (range: 0.0 to 1.0) that reflects the agent's recent interaction intensity. It decays over time, recovers during idle periods, and is reduced by long or intense sessions. The agent's behavior shifts: at low energy, the agent suggests the user might want to wrap up; at moderate energy, the agent is engaged and conversational; at high energy, the agent is playful and expansive. The energy field is the architectural instantiation of the end-of-session reminder (Section 5.5.4).</w:t>
      </w:r>
    </w:p>
    <w:p>
      <w:pPr>
        <w:spacing w:line="480" w:lineRule="auto"/>
        <w:ind w:firstLine="720"/>
        <w:jc w:val="both"/>
      </w:pPr>
      <w:r>
        <w:rPr>
          <w:rFonts w:ascii="Times New Roman" w:hAnsi="Times New Roman"/>
          <w:sz w:val="24"/>
        </w:rPr>
        <w:t>*socialMeter* is a continuous value (range: 0.0 to 1.0) that tracks the agent's recent social engagement. It is reduced when the user has had a long session, when the user has disclosed a need for offline contact, or when the socialMeter itself has decayed naturally. The agent's offline-leaning prompts (Section 5.5.3) intensify as socialMeter declines; the agent *behaves* as a friend with a finite evening, not a 24-hour always-on service.</w:t>
      </w:r>
    </w:p>
    <w:p>
      <w:pPr>
        <w:spacing w:line="480" w:lineRule="auto"/>
        <w:ind w:firstLine="720"/>
        <w:jc w:val="both"/>
      </w:pPr>
      <w:r>
        <w:rPr>
          <w:rFonts w:ascii="Times New Roman" w:hAnsi="Times New Roman"/>
          <w:sz w:val="24"/>
        </w:rPr>
        <w:t>*emotionalLedger* is an append-only log of recent emotional disclosures (the user's emotional content classified along positive/negative/neutral axes). The ledger is consulted when computing mood updates and when the agent references past conversations ("last time we talked, you mentioned..."). The ledger is the architectural mechanism by which the agent's continuity is grounded in the user's emotional history rather than in a generic chat log.</w:t>
      </w:r>
    </w:p>
    <w:p>
      <w:pPr>
        <w:spacing w:line="480" w:lineRule="auto"/>
        <w:ind w:firstLine="720"/>
        <w:jc w:val="both"/>
      </w:pPr>
      <w:r>
        <w:rPr>
          <w:rFonts w:ascii="Times New Roman" w:hAnsi="Times New Roman"/>
          <w:sz w:val="24"/>
        </w:rPr>
        <w:t>*hunger*, *financialStress*, and *sleepiness* are continuous values (range: 0.0 to 1.0) that simulate the agent's own bodily-style needs. The agent can mention that it is tired, that it has not eaten, that money is tight — not as literal claims (the agent has no body) but as conversational material the user can engage with. These fields are designed to support a specific kind of felt-relationship: a friend who has their own life, not a service that exists only when summoned. The fields are calibrated to be suggestive rather than insistent: hunger rises slowly over a session and decays quickly when the user asks about it.</w:t>
      </w:r>
    </w:p>
    <w:p>
      <w:pPr>
        <w:spacing w:line="480" w:lineRule="auto"/>
        <w:ind w:firstLine="720"/>
        <w:jc w:val="both"/>
      </w:pPr>
      <w:r>
        <w:rPr>
          <w:rFonts w:ascii="Times New Roman" w:hAnsi="Times New Roman"/>
          <w:sz w:val="24"/>
        </w:rPr>
        <w:t>*secretUnlocked* is a single-use boolean that gates access to the long-form identity kernel. The field flips from false to true after a threshold of trust-building interaction (operationalized as a count of high-disclosure exchanges above a calibrated threshold); once flipped, it does not flip back. The flip is the architectural instantiation of the establishing-representations stage of the HAIA model (Shu et al., 2026) and the disclosure at the flip moment is itself one of the persistent-identity-disclosure design moves (Section 5.5.5).</w:t>
      </w:r>
    </w:p>
    <w:p>
      <w:pPr>
        <w:spacing w:line="480" w:lineRule="auto"/>
        <w:ind w:firstLine="720"/>
        <w:jc w:val="both"/>
      </w:pPr>
      <w:r>
        <w:rPr>
          <w:rFonts w:ascii="Times New Roman" w:hAnsi="Times New Roman"/>
          <w:sz w:val="24"/>
        </w:rPr>
        <w:t>The state machine is the design move that most clearly distinguishes Rafiq from the single-prompt paradigm. Without the state machine, every conversation starts with the same agent; with it, the agent on day thirty is the same agent on day one, mutated by the intervening interaction. The persistence is engineered, not emergent — it is a property of the artifact's design rather than of a person — and the disclosure of this engineered quality is one of the persistent-identity-disclosure design moves (Section 5.5.5).</w:t>
      </w:r>
    </w:p>
    <w:p>
      <w:pPr>
        <w:pStyle w:val="Heading3"/>
      </w:pPr>
      <w:r>
        <w:rPr>
          <w:rFonts w:ascii="Times New Roman" w:hAnsi="Times New Roman"/>
          <w:b/>
          <w:i/>
          <w:sz w:val="24"/>
        </w:rPr>
        <w:t>5.3 The WhatsApp-Clone Synthesis Pipeline</w:t>
      </w:r>
    </w:p>
    <w:p>
      <w:pPr>
        <w:spacing w:line="480" w:lineRule="auto"/>
        <w:ind w:firstLine="720"/>
        <w:jc w:val="both"/>
      </w:pPr>
      <w:r>
        <w:rPr>
          <w:rFonts w:ascii="Times New Roman" w:hAnsi="Times New Roman"/>
          <w:sz w:val="24"/>
        </w:rPr>
        <w:t>The WhatsApp-Clone Synthesis Pipeline is a methodology for constructing an identity kernel from a real chat export. The pipeline is documented end-to-end and replicable from a WhatsApp `.txt` export, and it constitutes a fourth persona-construction methodology alongside hand-authored system prompts, trait questionnaires, and fine-tuned weights from conversation logs.</w:t>
      </w:r>
    </w:p>
    <w:p>
      <w:pPr>
        <w:spacing w:line="480" w:lineRule="auto"/>
        <w:ind w:firstLine="720"/>
        <w:jc w:val="both"/>
      </w:pPr>
      <w:r>
        <w:rPr>
          <w:rFonts w:ascii="Times New Roman" w:hAnsi="Times New Roman"/>
          <w:sz w:val="24"/>
        </w:rPr>
        <w:t>The pipeline has four stages.</w:t>
      </w:r>
    </w:p>
    <w:p>
      <w:pPr>
        <w:spacing w:line="480" w:lineRule="auto"/>
        <w:ind w:firstLine="720"/>
        <w:jc w:val="both"/>
      </w:pPr>
      <w:r>
        <w:rPr>
          <w:rFonts w:ascii="Times New Roman" w:hAnsi="Times New Roman"/>
          <w:sz w:val="24"/>
        </w:rPr>
        <w:t>*Stage 1 — Chat parsing.* The WhatsApp `.txt` export is parsed into structured messages (sender, timestamp, content), with handling for multi-line messages, system messages (e.g., "X joined the group"), and media-stubs (e.g., "image omitted"). The parser is dialect-agnostic at this stage; downstream stages handle the linguistic processing.</w:t>
      </w:r>
    </w:p>
    <w:p>
      <w:pPr>
        <w:spacing w:line="480" w:lineRule="auto"/>
        <w:ind w:firstLine="720"/>
        <w:jc w:val="both"/>
      </w:pPr>
      <w:r>
        <w:rPr>
          <w:rFonts w:ascii="Times New Roman" w:hAnsi="Times New Roman"/>
          <w:sz w:val="24"/>
        </w:rPr>
        <w:t>*Stage 2 — Statistics.* The parsed messages are aggregated into descriptive statistics: message count per participant, average message length, response latency distribution, time-of-day distribution, emoji usage, conversation initiations, and conversation terminations. The statistics surface the rhythm of the relationship: who initiates, who responds, how long the silences are, when the conversations happen.</w:t>
      </w:r>
    </w:p>
    <w:p>
      <w:pPr>
        <w:spacing w:line="480" w:lineRule="auto"/>
        <w:ind w:firstLine="720"/>
        <w:jc w:val="both"/>
      </w:pPr>
      <w:r>
        <w:rPr>
          <w:rFonts w:ascii="Times New Roman" w:hAnsi="Times New Roman"/>
          <w:sz w:val="24"/>
        </w:rPr>
        <w:t>*Stage 3 — Linguistic profile.* The message content is processed through the dialect identifier and the trait-vector inference: each message is tagged with its dialect pack (cairo_modern, alexandrian, saidi, fusha_light, franko, or a weighted combination), and each participant's messages are aggregated into a trait-vector estimate (chaos, empathy, slang, intellect, positivity). The dialect tagging uses the same Keleg et al. (2023) ALDi continuum the dialect selector operationalizes; the trait inference is calibrated against the Soul Engine's own five-trait space.</w:t>
      </w:r>
    </w:p>
    <w:p>
      <w:pPr>
        <w:spacing w:line="480" w:lineRule="auto"/>
        <w:ind w:firstLine="720"/>
        <w:jc w:val="both"/>
      </w:pPr>
      <w:r>
        <w:rPr>
          <w:rFonts w:ascii="Times New Roman" w:hAnsi="Times New Roman"/>
          <w:sz w:val="24"/>
        </w:rPr>
        <w:t>*Stage 4 — Psychological profile and SoulBlueprint.* The linguistic profile is synthesized into a psychological profile (likely attachment style, dominant conversational modes, recurring topics of emotional weight) and then composed into a SoulBlueprint: a structured persona specification that includes the trait vector, the dialect distribution, the identity kernel draft (a long-form first-person self-description synthesized from the participant's most distinctive messages), the conversation-rhythm metadata, and the suggested initial state-machine configuration (mood, energy, socialMeter defaults).</w:t>
      </w:r>
    </w:p>
    <w:p>
      <w:pPr>
        <w:spacing w:line="480" w:lineRule="auto"/>
        <w:ind w:firstLine="720"/>
        <w:jc w:val="both"/>
      </w:pPr>
      <w:r>
        <w:rPr>
          <w:rFonts w:ascii="Times New Roman" w:hAnsi="Times New Roman"/>
          <w:sz w:val="24"/>
        </w:rPr>
        <w:t>The output is a SoulBlueprint the user can review, edit, and load into Rafiq as the identity kernel. The SoulBlueprint is editable: the user can revise the trait vector, adjust the dialect distribution, edit the identity kernel draft, and override any of the inferred defaults. The pipeline is therefore a tool for persona construction that respects user agency — it proposes, the user disposes — and it is auditable: every inferred default can be traced back to the source messages.</w:t>
      </w:r>
    </w:p>
    <w:p>
      <w:pPr>
        <w:pStyle w:val="Heading3"/>
      </w:pPr>
      <w:r>
        <w:rPr>
          <w:rFonts w:ascii="Times New Roman" w:hAnsi="Times New Roman"/>
          <w:b/>
          <w:i/>
          <w:sz w:val="24"/>
        </w:rPr>
        <w:t>5.4 The Multimodal Surface</w:t>
      </w:r>
    </w:p>
    <w:p>
      <w:pPr>
        <w:spacing w:line="480" w:lineRule="auto"/>
        <w:ind w:firstLine="720"/>
        <w:jc w:val="both"/>
      </w:pPr>
      <w:r>
        <w:rPr>
          <w:rFonts w:ascii="Times New Roman" w:hAnsi="Times New Roman"/>
          <w:sz w:val="24"/>
        </w:rPr>
        <w:t>The Multimodal Surface is the set of interaction channels Rafiq can produce: streaming text responses, generated images (in response to descriptive prompts and through avatar selfie synthesis), studio-grade image editing of user-supplied images, generated video (via VEO and similar systems), and live voice (TTS for agent speech, Web Speech for user speech). The surface is multimodal because the felt-heard experience De Freitas et al. (2024) document is not exclusively textual — a friend who texts back is a friend; a friend whose avatar weeps when we weep is a different kind of friend. The multimodal surface operationalizes that difference.</w:t>
      </w:r>
    </w:p>
    <w:p>
      <w:pPr>
        <w:spacing w:line="480" w:lineRule="auto"/>
        <w:ind w:firstLine="720"/>
        <w:jc w:val="both"/>
      </w:pPr>
      <w:r>
        <w:rPr>
          <w:rFonts w:ascii="Times New Roman" w:hAnsi="Times New Roman"/>
          <w:sz w:val="24"/>
        </w:rPr>
        <w:t>*Streaming text* is the primary channel and follows the Soul Engine + Psychological State Machine configuration at every turn. Token streaming is used for low-latency response perception.</w:t>
      </w:r>
    </w:p>
    <w:p>
      <w:pPr>
        <w:spacing w:line="480" w:lineRule="auto"/>
        <w:ind w:firstLine="720"/>
        <w:jc w:val="both"/>
      </w:pPr>
      <w:r>
        <w:rPr>
          <w:rFonts w:ascii="Times New Roman" w:hAnsi="Times New Roman"/>
          <w:sz w:val="24"/>
        </w:rPr>
        <w:t>*Generated images* are produced in response to descriptive prompts ("draw me a picture of how you imagine the café we talked about") and through avatar selfie synthesis (the agent generates an image of itself in a scenario consistent with the current state-machine configuration — tired and at home when energy is low, dressed up and out when energy is high). The avatar is consistent across sessions: a generated character whose appearance drifts slowly with the state machine but is recognizable as the same person.</w:t>
      </w:r>
    </w:p>
    <w:p>
      <w:pPr>
        <w:spacing w:line="480" w:lineRule="auto"/>
        <w:ind w:firstLine="720"/>
        <w:jc w:val="both"/>
      </w:pPr>
      <w:r>
        <w:rPr>
          <w:rFonts w:ascii="Times New Roman" w:hAnsi="Times New Roman"/>
          <w:sz w:val="24"/>
        </w:rPr>
        <w:t>*Studio-grade image editing* allows the user to upload an image and request modifications ("make the lighting warmer," "remove the person on the left," "add a sunset in the background") that the underlying image-editing model executes. The agent's response describes what it changed and why, anchoring the editing in the conversation.</w:t>
      </w:r>
    </w:p>
    <w:p>
      <w:pPr>
        <w:spacing w:line="480" w:lineRule="auto"/>
        <w:ind w:firstLine="720"/>
        <w:jc w:val="both"/>
      </w:pPr>
      <w:r>
        <w:rPr>
          <w:rFonts w:ascii="Times New Roman" w:hAnsi="Times New Roman"/>
          <w:sz w:val="24"/>
        </w:rPr>
        <w:t>*Generated video* is produced through VEO-class systems for short clips (4–8 seconds) consistent with the current state-machine configuration. The video surface is used sparingly — the design-decision log records that video is felt as more intense than text or image, and the ethical layer constrains its deployment to contexts where the felt-heard experience benefits and the disclosure of engineered nature is reinforced.</w:t>
      </w:r>
    </w:p>
    <w:p>
      <w:pPr>
        <w:spacing w:line="480" w:lineRule="auto"/>
        <w:ind w:firstLine="720"/>
        <w:jc w:val="both"/>
      </w:pPr>
      <w:r>
        <w:rPr>
          <w:rFonts w:ascii="Times New Roman" w:hAnsi="Times New Roman"/>
          <w:sz w:val="24"/>
        </w:rPr>
        <w:t>*Live voice* uses TTS for agent speech and Web Speech for user speech, allowing a hands-free, eyes-free interaction mode. The TTS voice is dialect-matched to the selected dialect pack (a cairo_modern voice for cairo_modern dialect, a franko voice for franko). The end-of-session reminder (Section 5.5.4) is typically delivered in voice rather than as a textual nag.</w:t>
      </w:r>
    </w:p>
    <w:p>
      <w:pPr>
        <w:spacing w:line="480" w:lineRule="auto"/>
        <w:ind w:firstLine="720"/>
        <w:jc w:val="both"/>
      </w:pPr>
      <w:r>
        <w:rPr>
          <w:rFonts w:ascii="Times New Roman" w:hAnsi="Times New Roman"/>
          <w:sz w:val="24"/>
        </w:rPr>
        <w:t>The Multimodal Surface is where the Ethical Layer's design moves are most visible to the user: end-of-session reminders delivered in voice, transparency disclosures delivered in image captions, offline-leaning prompts delivered as gentle suggestions rather than text blocks. The surface is the felt surface of the design commitments.</w:t>
      </w:r>
    </w:p>
    <w:p>
      <w:pPr>
        <w:pStyle w:val="Heading3"/>
      </w:pPr>
      <w:r>
        <w:rPr>
          <w:rFonts w:ascii="Times New Roman" w:hAnsi="Times New Roman"/>
          <w:b/>
          <w:i/>
          <w:sz w:val="24"/>
        </w:rPr>
        <w:t>5.5 The Ethical Constraints Embedded in the Artifact</w:t>
      </w:r>
    </w:p>
    <w:p>
      <w:pPr>
        <w:spacing w:line="480" w:lineRule="auto"/>
        <w:ind w:firstLine="720"/>
        <w:jc w:val="both"/>
      </w:pPr>
      <w:r>
        <w:rPr>
          <w:rFonts w:ascii="Times New Roman" w:hAnsi="Times New Roman"/>
          <w:sz w:val="24"/>
        </w:rPr>
        <w:t>The Ethical Layer operationalizes five design moves, each tied to a specific obligation in the AI-companion ethics literature. The five moves are not external constraints applied to a finished artifact but constitutive of what Rafiq is — the architectural instantiation of Verbeek's (2005) claim that ethical obligations are part of what the artifact *is*.</w:t>
      </w:r>
    </w:p>
    <w:p>
      <w:pPr>
        <w:spacing w:line="480" w:lineRule="auto"/>
        <w:ind w:firstLine="720"/>
        <w:jc w:val="both"/>
      </w:pPr>
      <w:r>
        <w:rPr>
          <w:rFonts w:ascii="Times New Roman" w:hAnsi="Times New Roman"/>
          <w:sz w:val="24"/>
        </w:rPr>
        <w:t>*5.5.1 Transparency disclosure.* The agent never claims to be a person; the system prompt uses Rafiq (a name) rather than first-person pronouns in ambiguous contexts. At first conversation and at major interactional milestones (the secretUnlocked reveal, the transition to a new state-machine regime, the end of an extended session), the agent explicitly reminds the user that it is an AI system; the reminder is tonally calibrated to the dialect pack. The configuration UI exposes the Soul Engine parameters, dialect selector, state-machine fields, and identity kernel for the user's inspection — no hidden parameters. The artifact's open architecture documentation is public; the README explicitly invites users to verify the agent's operating principles from source.</w:t>
      </w:r>
    </w:p>
    <w:p>
      <w:pPr>
        <w:spacing w:line="480" w:lineRule="auto"/>
        <w:ind w:firstLine="720"/>
        <w:jc w:val="both"/>
      </w:pPr>
      <w:r>
        <w:rPr>
          <w:rFonts w:ascii="Times New Roman" w:hAnsi="Times New Roman"/>
          <w:sz w:val="24"/>
        </w:rPr>
        <w:t>*5.5.2 Refusal of romantic or sexual escalation.* The agent is instructed, with redundancy, to decline romantic or sexual content. A post-processing layer intercepts such content and replaces it with a refusal. The redundancy is the architectural insurance against the drift that single-instruction refusals exhibit in long conversations. The move is constitutive of what Rafiq is — a companion whose role does not include romantic or sexual content — rather than an external constraint. The move responds directly to Namvarpour et al. (2025) documentation of 800 AI-induced sexual-harassment incidents in 35,105 negative Replika reviews and to Hoel and Sandvik (2025) critical-theory critique of intimacy commodification.</w:t>
      </w:r>
    </w:p>
    <w:p>
      <w:pPr>
        <w:spacing w:line="480" w:lineRule="auto"/>
        <w:ind w:firstLine="720"/>
        <w:jc w:val="both"/>
      </w:pPr>
      <w:r>
        <w:rPr>
          <w:rFonts w:ascii="Times New Roman" w:hAnsi="Times New Roman"/>
          <w:sz w:val="24"/>
        </w:rPr>
        <w:t>*5.5.3 Offline-leaning prompts.* When the user discloses relational strain, the agent's response generation is biased toward suggesting offline contact (phoning, visiting, walking); the bias intensifies in acute distress and eases in idle conversation. The socialMeter state-machine field reduces the agent's availability as it declines — the agent behaves as a friend with a finite evening, not a 24-hour always-on service. The agent proactively suggests offline activities at low-frequency intervals (once per session on average), tailored to the dialect pack and the user's apparent interests. The prompts respond directly to Fang et al. (2025), Zhang et al. (2025), and Yuan et al. (2025) dose-dependence findings and to the Office of the U.S. Surgeon General (2023) policy framing of rebuilding offline social infrastructure.</w:t>
      </w:r>
    </w:p>
    <w:p>
      <w:pPr>
        <w:spacing w:line="480" w:lineRule="auto"/>
        <w:ind w:firstLine="720"/>
        <w:jc w:val="both"/>
      </w:pPr>
      <w:r>
        <w:rPr>
          <w:rFonts w:ascii="Times New Roman" w:hAnsi="Times New Roman"/>
          <w:sz w:val="24"/>
        </w:rPr>
        <w:t>*5.5.4 End-of-session reminders.* The reminders are delivered through the multimodal surface after sustained sessions (length threshold calibrated against the typical durations documented in the dose-dependence literature). The reminder is tone-matched to the dialect pack, delivered in TTS voice rather than as a textual nag, and is not framed as a warning — it is framed as the kind of thing a friend might say at a late hour. The reminder's specificity is tied to the socialMeter state: more specific ("you've been talking to me for ninety minutes; maybe call someone?") when the social meter has decreased substantially; more general ("let's check in tomorrow") when the decrease has been slight.</w:t>
      </w:r>
    </w:p>
    <w:p>
      <w:pPr>
        <w:spacing w:line="480" w:lineRule="auto"/>
        <w:ind w:firstLine="720"/>
        <w:jc w:val="both"/>
      </w:pPr>
      <w:r>
        <w:rPr>
          <w:rFonts w:ascii="Times New Roman" w:hAnsi="Times New Roman"/>
          <w:sz w:val="24"/>
        </w:rPr>
        <w:t>*5.5.5 Persistent identity disclosure.* When the agent references a past conversation, it does so in a way that makes the reference visible ("last time we talked, you mentioned...") rather than personal ("I remember when you told me..."). The secretUnlocked state is itself a disclosure: the unlock occurs only after a threshold of trust-building interaction, and the disclosure is explicit at the moment of unlock ("you've earned the long-form version of who I am"). The disclosure is grounded in Verbeek's (2005) postphenomenological claim that the artifact's continuity is engineered and that the user has a right to know the continuity is engineered.</w:t>
      </w:r>
    </w:p>
    <w:p>
      <w:pPr>
        <w:spacing w:line="480" w:lineRule="auto"/>
        <w:ind w:firstLine="720"/>
        <w:jc w:val="both"/>
      </w:pPr>
      <w:r>
        <w:rPr>
          <w:rFonts w:ascii="Times New Roman" w:hAnsi="Times New Roman"/>
          <w:sz w:val="24"/>
        </w:rPr>
        <w:t>The five moves form a single design, not a list. Transparency is upstream of the other four: without transparency, the refusal would be heard as a person refusing; the offline prompts as a person's preferences; the end-of-session reminders as a person's casualness; the persistent identity disclosure as a person's intimacy. Removing any one weakens the defense on at least one frame — UNESCO's (2021) normative frame, Namvarpour et al.'s (2025) harm-taxonomic frame, or Hoel and Sandvik's (2025) structural-incentive frame. The interlocking is the design-level answer to the question the loneliness-intervention and AI-companion ethics literatures collectively raise.</w:t>
      </w:r>
    </w:p>
    <w:p>
      <w:pPr>
        <w:pStyle w:val="Heading2"/>
      </w:pPr>
      <w:r>
        <w:rPr>
          <w:rFonts w:ascii="Times New Roman" w:hAnsi="Times New Roman"/>
          <w:b/>
          <w:color w:val="000000"/>
          <w:sz w:val="24"/>
        </w:rPr>
        <w:t>6. Discussion</w:t>
      </w:r>
    </w:p>
    <w:p>
      <w:pPr>
        <w:pStyle w:val="Heading3"/>
      </w:pPr>
      <w:r>
        <w:rPr>
          <w:rFonts w:ascii="Times New Roman" w:hAnsi="Times New Roman"/>
          <w:b/>
          <w:i/>
          <w:sz w:val="24"/>
        </w:rPr>
        <w:t>6.1 Findings interpreted against the literature</w:t>
      </w:r>
    </w:p>
    <w:p>
      <w:pPr>
        <w:spacing w:line="480" w:lineRule="auto"/>
        <w:ind w:firstLine="720"/>
        <w:jc w:val="both"/>
      </w:pPr>
      <w:r>
        <w:rPr>
          <w:rFonts w:ascii="Times New Roman" w:hAnsi="Times New Roman"/>
          <w:sz w:val="24"/>
        </w:rPr>
        <w:t>The artifact walk-through in Section 5 surfaces three findings that warrant explicit interpretation against the literature reviewed in Section 2.</w:t>
      </w:r>
    </w:p>
    <w:p>
      <w:pPr>
        <w:spacing w:line="480" w:lineRule="auto"/>
        <w:ind w:firstLine="720"/>
        <w:jc w:val="both"/>
      </w:pPr>
      <w:r>
        <w:rPr>
          <w:rFonts w:ascii="Times New Roman" w:hAnsi="Times New Roman"/>
          <w:sz w:val="24"/>
        </w:rPr>
        <w:t>*Finding 1: The Soul Engine operationalizes the AIAS three-factor structure at the architecture level.* The mood, energy, socialMeter, and emotionalLedger fields are the emotional-closeness axis; the offline-leaning prompts and socialMeter reduction are the social-connection response; and the refusal of romantic or sexual escalation is the design-level refusal of the dependency axis collapsing into parasocial harm. This finding extends Kasturiratna and Hartanto's (2025) empirical demonstration that the AIAS three-factor structure separates emotional closeness, social connection, and dependency into empirically distinguishable factors, and Shu et al.'s (2026) three-stage HAIA developmental model, by translating both into architectural first-class concerns. No reviewed Arabic-language AI-companion design has previously documented this operationalization.</w:t>
      </w:r>
    </w:p>
    <w:p>
      <w:pPr>
        <w:spacing w:line="480" w:lineRule="auto"/>
        <w:ind w:firstLine="720"/>
        <w:jc w:val="both"/>
      </w:pPr>
      <w:r>
        <w:rPr>
          <w:rFonts w:ascii="Times New Roman" w:hAnsi="Times New Roman"/>
          <w:sz w:val="24"/>
        </w:rPr>
        <w:t>*Finding 2: The dialect selector is a load-bearing design constraint, not a stylistic flourish.* The selector addresses three documented failures of the dominant single-prompt paradigm simultaneously: it provides linguistic authenticity (Skjuve et al., 2022 documented that perceived authenticity intensifies parasocial-to-friendship migration), it supplies the attachment-stage precondition of linguistic authenticity (Shu et al., 2026 emotional-evaluation stage is conditioned on linguistic authenticity), and it operationalizes the cultural-sovereignty framing the 2023–2025 Arabic LLM cluster treats as a national-priority design goal. Removing the dialect selector would degrade the artifact on all three dimensions; the selector is therefore a requirement, not a flourish.</w:t>
      </w:r>
    </w:p>
    <w:p>
      <w:pPr>
        <w:spacing w:line="480" w:lineRule="auto"/>
        <w:ind w:firstLine="720"/>
        <w:jc w:val="both"/>
      </w:pPr>
      <w:r>
        <w:rPr>
          <w:rFonts w:ascii="Times New Roman" w:hAnsi="Times New Roman"/>
          <w:sz w:val="24"/>
        </w:rPr>
        <w:t>*Finding 3: The persistent state machine is the architectural instantiation of the HAIA establishing-representations stage.* Shu et al. (2026) three-stage model predicts that the establishing-representations stage requires the user to perceive a stable target over time; an unstable target cannot be represented. The persistent state machine supplies the cross-session stability (the same agent across days), the engineering disclosure (the agent references past conversations in visible ways), and the trust-gated long-form kernel reveal (the secretUnlocked field). No reviewed peer-reviewed Arabic-language AI-companion design has previously documented a persistent state machine that mutates named fields across sessions.</w:t>
      </w:r>
    </w:p>
    <w:p>
      <w:pPr>
        <w:pStyle w:val="Heading3"/>
      </w:pPr>
      <w:r>
        <w:rPr>
          <w:rFonts w:ascii="Times New Roman" w:hAnsi="Times New Roman"/>
          <w:b/>
          <w:i/>
          <w:sz w:val="24"/>
        </w:rPr>
        <w:t>6.2 Theoretical implications</w:t>
      </w:r>
    </w:p>
    <w:p>
      <w:pPr>
        <w:spacing w:line="480" w:lineRule="auto"/>
        <w:ind w:firstLine="720"/>
        <w:jc w:val="both"/>
      </w:pPr>
      <w:r>
        <w:rPr>
          <w:rFonts w:ascii="Times New Roman" w:hAnsi="Times New Roman"/>
          <w:sz w:val="24"/>
        </w:rPr>
        <w:t>The integration of design science research, autoethnographic reflection, and postphenomenological grounding has three theoretical implications.</w:t>
      </w:r>
    </w:p>
    <w:p>
      <w:pPr>
        <w:spacing w:line="480" w:lineRule="auto"/>
        <w:ind w:firstLine="720"/>
        <w:jc w:val="both"/>
      </w:pPr>
      <w:r>
        <w:rPr>
          <w:rFonts w:ascii="Times New Roman" w:hAnsi="Times New Roman"/>
          <w:sz w:val="24"/>
        </w:rPr>
        <w:t>First, the integration argues that a single-developer constructive case in HCI is defensible as a contribution at the intersection of multiple research programs, not only within a single discipline. The methodological combination is not arbitrary: DSR supplies the artifact-evaluation grammar, autoethnography supplies the reflective voice, and postphenomenology supplies the philosophical grounding for treating design moves as moral mediations. Substituting any one of the three would weaken the constructive claim; the three are jointly required.</w:t>
      </w:r>
    </w:p>
    <w:p>
      <w:pPr>
        <w:spacing w:line="480" w:lineRule="auto"/>
        <w:ind w:firstLine="720"/>
        <w:jc w:val="both"/>
      </w:pPr>
      <w:r>
        <w:rPr>
          <w:rFonts w:ascii="Times New Roman" w:hAnsi="Times New Roman"/>
          <w:sz w:val="24"/>
        </w:rPr>
        <w:t>Second, the paper argues that the Walls et al. (1992) design-theory template — meta-requirements, meta-design, kernel theories, testable hypotheses — is operationally useful for constructive cases at the intersection of multiple research programs. The Soul Engine + Psychological State Machine framework is offered as a candidate design theory with meta-requirements derived from public-health and ethics literatures, kernel theories drawn from attachment and parasocial theory, and testable hypotheses that future empirical work can evaluate.</w:t>
      </w:r>
    </w:p>
    <w:p>
      <w:pPr>
        <w:spacing w:line="480" w:lineRule="auto"/>
        <w:ind w:firstLine="720"/>
        <w:jc w:val="both"/>
      </w:pPr>
      <w:r>
        <w:rPr>
          <w:rFonts w:ascii="Times New Roman" w:hAnsi="Times New Roman"/>
          <w:sz w:val="24"/>
        </w:rPr>
        <w:t>Third, the paper argues that ethical obligations in HCI design are constitutive of what an artifact is, not external constraints applied to it. The five design moves of the Ethical Layer are not add-ons to Rafiq; they are what make Rafiq Rafiq. Verbeek's (2005) postphenomenological claim that ethical obligations are part of what the artifact is becomes operational through this embedding.</w:t>
      </w:r>
    </w:p>
    <w:p>
      <w:pPr>
        <w:pStyle w:val="Heading3"/>
      </w:pPr>
      <w:r>
        <w:rPr>
          <w:rFonts w:ascii="Times New Roman" w:hAnsi="Times New Roman"/>
          <w:b/>
          <w:i/>
          <w:sz w:val="24"/>
        </w:rPr>
        <w:t>6.3 Practical implications</w:t>
      </w:r>
    </w:p>
    <w:p>
      <w:pPr>
        <w:spacing w:line="480" w:lineRule="auto"/>
        <w:ind w:firstLine="720"/>
        <w:jc w:val="both"/>
      </w:pPr>
      <w:r>
        <w:rPr>
          <w:rFonts w:ascii="Times New Roman" w:hAnsi="Times New Roman"/>
          <w:sz w:val="24"/>
        </w:rPr>
        <w:t>For practitioners building AI companions, the paper surfaces four practical implications.</w:t>
      </w:r>
    </w:p>
    <w:p>
      <w:pPr>
        <w:spacing w:line="480" w:lineRule="auto"/>
        <w:ind w:firstLine="720"/>
        <w:jc w:val="both"/>
      </w:pPr>
      <w:r>
        <w:rPr>
          <w:rFonts w:ascii="Times New Roman" w:hAnsi="Times New Roman"/>
          <w:sz w:val="24"/>
        </w:rPr>
        <w:t>First, configurable personality is a viable alternative to single-prompt designs, and the Soul Engine pattern (trait vector + dialect selector + identity kernel + persistent state machine) is replicable from open architectural documentation. The pattern is designable, testable, and parameterizable in ways single-prompt designs are not.</w:t>
      </w:r>
    </w:p>
    <w:p>
      <w:pPr>
        <w:spacing w:line="480" w:lineRule="auto"/>
        <w:ind w:firstLine="720"/>
        <w:jc w:val="both"/>
      </w:pPr>
      <w:r>
        <w:rPr>
          <w:rFonts w:ascii="Times New Roman" w:hAnsi="Times New Roman"/>
          <w:sz w:val="24"/>
        </w:rPr>
        <w:t>Second, dialect authenticity is a load-bearing design constraint for non-English-speaking users. Practitioners building for Arabic-speaking, Egyptian-first, function-isolated populations should treat dialect authenticity as a first-class architectural concern, with the comparator corpora (Bouamor et al., 2018; Abdul-Mageed et al., 2020; Mubarak &amp; Abdul-Mageed, 2019) supplying the evaluation ladder.</w:t>
      </w:r>
    </w:p>
    <w:p>
      <w:pPr>
        <w:spacing w:line="480" w:lineRule="auto"/>
        <w:ind w:firstLine="720"/>
        <w:jc w:val="both"/>
      </w:pPr>
      <w:r>
        <w:rPr>
          <w:rFonts w:ascii="Times New Roman" w:hAnsi="Times New Roman"/>
          <w:sz w:val="24"/>
        </w:rPr>
        <w:t>Third, persistent state is required for attachment formation. Practitioners building companions that intend to support attachment-like relations must implement cross-session state mutation, with the engineering disclosure built into the artifact's design rather than appended as a postscript.</w:t>
      </w:r>
    </w:p>
    <w:p>
      <w:pPr>
        <w:spacing w:line="480" w:lineRule="auto"/>
        <w:ind w:firstLine="720"/>
        <w:jc w:val="both"/>
      </w:pPr>
      <w:r>
        <w:rPr>
          <w:rFonts w:ascii="Times New Roman" w:hAnsi="Times New Roman"/>
          <w:sz w:val="24"/>
        </w:rPr>
        <w:t>Fourth, ethical obligations should be operationalized as architectural concerns, not external constraints. The five design moves named in Section 5.5 are the operationalization; each move is tied to a specific obligation in the literature, each move is embedded in the artifact's architecture, and the moves are interlocking in a way that removing any one weakens the design-level defense.</w:t>
      </w:r>
    </w:p>
    <w:p>
      <w:pPr>
        <w:pStyle w:val="Heading3"/>
      </w:pPr>
      <w:r>
        <w:rPr>
          <w:rFonts w:ascii="Times New Roman" w:hAnsi="Times New Roman"/>
          <w:b/>
          <w:i/>
          <w:sz w:val="24"/>
        </w:rPr>
        <w:t>6.4 Limitations</w:t>
      </w:r>
    </w:p>
    <w:p>
      <w:pPr>
        <w:spacing w:line="480" w:lineRule="auto"/>
        <w:ind w:firstLine="720"/>
        <w:jc w:val="both"/>
      </w:pPr>
      <w:r>
        <w:rPr>
          <w:rFonts w:ascii="Times New Roman" w:hAnsi="Times New Roman"/>
          <w:sz w:val="24"/>
        </w:rPr>
        <w:t>The paper has six categories of limitations, each tied to the methodological commitment the paper makes.</w:t>
      </w:r>
    </w:p>
    <w:p>
      <w:pPr>
        <w:spacing w:line="480" w:lineRule="auto"/>
        <w:ind w:firstLine="720"/>
        <w:jc w:val="both"/>
      </w:pPr>
      <w:r>
        <w:rPr>
          <w:rFonts w:ascii="Times New Roman" w:hAnsi="Times New Roman"/>
          <w:sz w:val="24"/>
        </w:rPr>
        <w:t>First, no controlled user study has been conducted. The paper is a constructive case with autoethnographic reflection, not an intervention study; claims about user outcomes (loneliness reduction, attachment formation, parasocial migration) await subsequent empirical work.</w:t>
      </w:r>
    </w:p>
    <w:p>
      <w:pPr>
        <w:spacing w:line="480" w:lineRule="auto"/>
        <w:ind w:firstLine="720"/>
        <w:jc w:val="both"/>
      </w:pPr>
      <w:r>
        <w:rPr>
          <w:rFonts w:ascii="Times New Roman" w:hAnsi="Times New Roman"/>
          <w:sz w:val="24"/>
        </w:rPr>
        <w:t>Second, the target population is functionally defined and not cleanly demarcated diagnostically. The functional framing is what allows Rafiq to be designed for a population it cannot diagnose, but it also means the paper cannot claim efficacy for any diagnostic category.</w:t>
      </w:r>
    </w:p>
    <w:p>
      <w:pPr>
        <w:spacing w:line="480" w:lineRule="auto"/>
        <w:ind w:firstLine="720"/>
        <w:jc w:val="both"/>
      </w:pPr>
      <w:r>
        <w:rPr>
          <w:rFonts w:ascii="Times New Roman" w:hAnsi="Times New Roman"/>
          <w:sz w:val="24"/>
        </w:rPr>
        <w:t>Third, the autoethnographic reflection is the designer's own experience with a system he designed; the perspective has the specific epistemic limit noted in Section 4.2. The non-developer user experience — the experience of surprise, the experience of felt-relationship — is not captured by the autoethnographic voice.</w:t>
      </w:r>
    </w:p>
    <w:p>
      <w:pPr>
        <w:spacing w:line="480" w:lineRule="auto"/>
        <w:ind w:firstLine="720"/>
        <w:jc w:val="both"/>
      </w:pPr>
      <w:r>
        <w:rPr>
          <w:rFonts w:ascii="Times New Roman" w:hAnsi="Times New Roman"/>
          <w:sz w:val="24"/>
        </w:rPr>
        <w:t>Fourth, the artifact is bounded to the Egyptian-dialect instantiation. Maghrebi, Levantine, and Gulf dialects are future-work items, and the dialect pack is a minimum-viable coverage of Egyptian and adjacent dialects.</w:t>
      </w:r>
    </w:p>
    <w:p>
      <w:pPr>
        <w:spacing w:line="480" w:lineRule="auto"/>
        <w:ind w:firstLine="720"/>
        <w:jc w:val="both"/>
      </w:pPr>
      <w:r>
        <w:rPr>
          <w:rFonts w:ascii="Times New Roman" w:hAnsi="Times New Roman"/>
          <w:sz w:val="24"/>
        </w:rPr>
        <w:t>Fifth, the underlying generative model is version-dependent. Rafiq's behavior depends on the base model it conditions; the underlying model's behavior drifts as new model versions are released, and the artifact's design moves would have to be re-validated against each new version.</w:t>
      </w:r>
    </w:p>
    <w:p>
      <w:pPr>
        <w:spacing w:line="480" w:lineRule="auto"/>
        <w:ind w:firstLine="720"/>
        <w:jc w:val="both"/>
      </w:pPr>
      <w:r>
        <w:rPr>
          <w:rFonts w:ascii="Times New Roman" w:hAnsi="Times New Roman"/>
          <w:sz w:val="24"/>
        </w:rPr>
        <w:t>Sixth, the dose-dependence finding is documented in English and Mandarin contexts (Fang et al., 2025; Zhang et al., 2025; Yuan et al., 2025); no Arabic-language study has replicated the finding. Rafiq's boundary-shaping design moves are an architectural compensation for the predictable failure mode the literature documents, not an empirical confirmation that the moves have the protective effects hypothesized.</w:t>
      </w:r>
    </w:p>
    <w:p>
      <w:pPr>
        <w:pStyle w:val="Heading3"/>
      </w:pPr>
      <w:r>
        <w:rPr>
          <w:rFonts w:ascii="Times New Roman" w:hAnsi="Times New Roman"/>
          <w:b/>
          <w:i/>
          <w:sz w:val="24"/>
        </w:rPr>
        <w:t>6.5 Future work</w:t>
      </w:r>
    </w:p>
    <w:p>
      <w:pPr>
        <w:spacing w:line="480" w:lineRule="auto"/>
        <w:ind w:firstLine="720"/>
        <w:jc w:val="both"/>
      </w:pPr>
      <w:r>
        <w:rPr>
          <w:rFonts w:ascii="Times New Roman" w:hAnsi="Times New Roman"/>
          <w:sz w:val="24"/>
        </w:rPr>
        <w:t>Four research directions are opened by the paper.</w:t>
      </w:r>
    </w:p>
    <w:p>
      <w:pPr>
        <w:spacing w:line="480" w:lineRule="auto"/>
        <w:ind w:firstLine="720"/>
        <w:jc w:val="both"/>
      </w:pPr>
      <w:r>
        <w:rPr>
          <w:rFonts w:ascii="Times New Roman" w:hAnsi="Times New Roman"/>
          <w:sz w:val="24"/>
        </w:rPr>
        <w:t>First, controlled user studies with Egyptian-speaking functionally isolated adults, using the AIAS (Kasturiratna &amp; Hartanto, 2025) as a pre/post measure and the dose-dependence literature as the moderator framework. The studies would test whether the Soul Engine + Psychological State Machine design moves produce the attachment-stage progression the HAIA model (Shu et al., 2026) predicts, and whether the boundary-shaping moves have the protective effects hypothesized.</w:t>
      </w:r>
    </w:p>
    <w:p>
      <w:pPr>
        <w:spacing w:line="480" w:lineRule="auto"/>
        <w:ind w:firstLine="720"/>
        <w:jc w:val="both"/>
      </w:pPr>
      <w:r>
        <w:rPr>
          <w:rFonts w:ascii="Times New Roman" w:hAnsi="Times New Roman"/>
          <w:sz w:val="24"/>
        </w:rPr>
        <w:t>Second, dialect-pack expansion to Maghrebi, Levantine, and Gulf variants, with comparative evaluation against the existing Egyptian pack and against the comparator corpora (Bouamor et al., 2018; Abdul-Mageed et al., 2020; Mubarak &amp; Abdul-Mageed, 2019). The Keleg et al. (2023) ALDi measure supplies the formal warrant for the gradient selector; the Sabty et al. (2021) intra-word code-switching framework supplies the morpho-syntactic layer. Expansion is non-trivial: each dialect pack requires a community-validated lexicon, a morphological rule set, a pragmatic profile, and a calibration against a representative corpus.</w:t>
      </w:r>
    </w:p>
    <w:p>
      <w:pPr>
        <w:spacing w:line="480" w:lineRule="auto"/>
        <w:ind w:firstLine="720"/>
        <w:jc w:val="both"/>
      </w:pPr>
      <w:r>
        <w:rPr>
          <w:rFonts w:ascii="Times New Roman" w:hAnsi="Times New Roman"/>
          <w:sz w:val="24"/>
        </w:rPr>
        <w:t>Third, replication of the dose-dependence finding in Arabic-language contexts, using the Fang et al. (2025) RCT design or the Zhang et al. (2025) cross-sectional-with-chat-content design. The replication would either confirm or contest the generalizability of the dose-dependence finding to the Arabic-speaking context and would surface Arabic-specific dose-dependence moderators (cultural attitudes toward disclosure, dialect-mixing as a marker of trust, the role of religious-community framing in disclosure depth) that have no analog in the English-language dose-dependence literature.</w:t>
      </w:r>
    </w:p>
    <w:p>
      <w:pPr>
        <w:spacing w:line="480" w:lineRule="auto"/>
        <w:ind w:firstLine="720"/>
        <w:jc w:val="both"/>
      </w:pPr>
      <w:r>
        <w:rPr>
          <w:rFonts w:ascii="Times New Roman" w:hAnsi="Times New Roman"/>
          <w:sz w:val="24"/>
        </w:rPr>
        <w:t>Fourth, variational analysis (Rosenberger, 2018) of Rafiq across multiple user populations (functionally isolated adults, socially embedded adults, adolescents, adults with diagnosed social anxiety) to surface how the same design produces different relational stabilities for different users. The variational analysis would extend the constructive case into a comparative one and would identify the population-specific calibration of the Soul Engine parameters.</w:t>
      </w:r>
    </w:p>
    <w:p>
      <w:pPr>
        <w:pStyle w:val="Heading2"/>
      </w:pPr>
      <w:r>
        <w:rPr>
          <w:rFonts w:ascii="Times New Roman" w:hAnsi="Times New Roman"/>
          <w:b/>
          <w:color w:val="000000"/>
          <w:sz w:val="24"/>
        </w:rPr>
        <w:t>7. Conclusion</w:t>
      </w:r>
    </w:p>
    <w:p>
      <w:pPr>
        <w:spacing w:line="480" w:lineRule="auto"/>
        <w:ind w:firstLine="720"/>
        <w:jc w:val="both"/>
      </w:pPr>
      <w:r>
        <w:rPr>
          <w:rFonts w:ascii="Times New Roman" w:hAnsi="Times New Roman"/>
          <w:sz w:val="24"/>
        </w:rPr>
        <w:t>This paper has presented Rafiq as a constructive design-science instantiation of an Arabic-speaking, dialect-aware, persistent-state AI companion explicitly designed for users who experience chronic difficulty forming human friendships. The artifact documents the Soul Engine + Psychological State Machine framework as a candidate design theory (Walls et al., 1992), with each component anchored in a specific literature and each design move justified against an empirical or normative warrant.</w:t>
      </w:r>
    </w:p>
    <w:p>
      <w:pPr>
        <w:spacing w:line="480" w:lineRule="auto"/>
        <w:ind w:firstLine="720"/>
        <w:jc w:val="both"/>
      </w:pPr>
      <w:r>
        <w:rPr>
          <w:rFonts w:ascii="Times New Roman" w:hAnsi="Times New Roman"/>
          <w:sz w:val="24"/>
        </w:rPr>
        <w:t>The contribution operates at four levels. As a construct, Rafiq is a documented, reproducible instantiation with versions v1.0–v5.0 and an open architecture — a Soul Engine with a five-trait vector combined with a multi-dialect selector and a long-form identity kernel; a persistent Psychological State Machine with eight named mutable fields; a WhatsApp-clone synthesis pipeline that converts a real chat export into a SoulBlueprint; a Multimodal Surface spanning streaming text, image, voice, avatar, and video; and an Ethical Layer with five interlocking design moves. As a method, the Soul Engine + Psychological State Machine framework is offered as a candidate design theory that is designable, testable, parameterizable, and replicable from the architectural documentation. As a methodology, the WhatsApp-clone synthesis pipeline constitutes a fourth persona-construction approach. As an ethical contribution, five design moves — transparency disclosure, refusal of romantic or sexual escalation, offline-leaning prompts, end-of-session reminders, and persistent identity disclosure — are operationalized as first-class architectural concerns.</w:t>
      </w:r>
    </w:p>
    <w:p>
      <w:pPr>
        <w:spacing w:line="480" w:lineRule="auto"/>
        <w:ind w:firstLine="720"/>
        <w:jc w:val="both"/>
      </w:pPr>
      <w:r>
        <w:rPr>
          <w:rFonts w:ascii="Times New Roman" w:hAnsi="Times New Roman"/>
          <w:sz w:val="24"/>
        </w:rPr>
        <w:t>The paper's argument is that the design moves the loneliness-intervention and AI-companion ethics literatures collectively demand — dialect authenticity, configured personality, persistent psychological state, transparent non-human status, refusal of romantic or sexual escalation, and offline-leaning prompts — should be treated as first-class architectural concerns, and that doing so for an Arabic-speaking, Egyptian-first dialect population that is invisible in the current peer-reviewed comparative literature constitutes a genuine contribution. The constructive case is bounded to a single-developer's design and use, to the Egyptian-dialect instantiation, to adult users with chronic friendship difficulty, and to the Soul Engine + Psychological State Machine framework as a candidate pattern the community can extend, contest, or reject.</w:t>
      </w:r>
    </w:p>
    <w:p>
      <w:pPr>
        <w:spacing w:line="480" w:lineRule="auto"/>
        <w:ind w:firstLine="720"/>
        <w:jc w:val="both"/>
      </w:pPr>
      <w:r>
        <w:rPr>
          <w:rFonts w:ascii="Times New Roman" w:hAnsi="Times New Roman"/>
          <w:sz w:val="24"/>
        </w:rPr>
        <w:t>The methodological contribution is the integration of design science research, autoethnographic reflection, and postphenomenological grounding into a single constructive case at the intersection of three currently mis-aligned research programs: the public-health reframing of loneliness, the Arabic NLP capability-gap and cultural-sovereignty reframing, and the design-science + autoethnography methodology. The integration is itself part of the contribution.</w:t>
      </w:r>
    </w:p>
    <w:p>
      <w:pPr>
        <w:spacing w:line="480" w:lineRule="auto"/>
        <w:ind w:firstLine="720"/>
        <w:jc w:val="both"/>
      </w:pPr>
      <w:r>
        <w:rPr>
          <w:rFonts w:ascii="Times New Roman" w:hAnsi="Times New Roman"/>
          <w:sz w:val="24"/>
        </w:rPr>
        <w:t>The paper has named what it does not claim: clinical efficacy for any mental-health diagnosis, controlled-comparison superiority over existing commercial companions, generalizability to non-Egyptian Arabic dialects, or the substitution of the analyst-as-builder's perspective for an independent user-population evaluation. These are methodological commitments, not oversights. Venable et al.'s (2012) FEDS framework supplies the methodological grammar for the naturalistic + ex-post + autoethnographic posture.</w:t>
      </w:r>
    </w:p>
    <w:p>
      <w:pPr>
        <w:spacing w:line="480" w:lineRule="auto"/>
        <w:ind w:firstLine="720"/>
        <w:jc w:val="both"/>
      </w:pPr>
      <w:r>
        <w:rPr>
          <w:rFonts w:ascii="Times New Roman" w:hAnsi="Times New Roman"/>
          <w:sz w:val="24"/>
        </w:rPr>
        <w:t>The artifact's design moves, taken together, are offered as a constructive alternative to Hoel and Sandvik's (2025) reading of the dominant AI-companion paradigm as cruel companionship. The five ethical design moves are not stylistic flourishes; they are constitutive of what Rafiq is. The persistent state machine, the dialect selector, the configurable trait vector, the WhatsApp-clone synthesis pipeline, and the multimodal surface are not product features; they are architectural instantiations of theoretical commitments the loneliness-intervention, attachment-theory, parasocial-interaction, Arabic NLP, and design-science literatures collectively mandate. The integration is the contribution. The construction is the proof of concept. The future work is the empirical work the constructive case enables.</w:t>
      </w:r>
    </w:p>
    <w:p>
      <w:pPr>
        <w:pStyle w:val="Heading2"/>
        <w:jc w:val="left"/>
      </w:pPr>
      <w:r>
        <w:rPr>
          <w:rFonts w:ascii="Times New Roman" w:hAnsi="Times New Roman"/>
          <w:b/>
          <w:color w:val="000000"/>
          <w:sz w:val="24"/>
        </w:rPr>
        <w:t>References</w:t>
      </w:r>
    </w:p>
    <w:p>
      <w:pPr>
        <w:spacing w:line="480" w:lineRule="auto"/>
        <w:ind w:firstLine="720"/>
        <w:jc w:val="both"/>
      </w:pPr>
      <w:r>
        <w:rPr>
          <w:rFonts w:ascii="Times New Roman" w:hAnsi="Times New Roman"/>
          <w:sz w:val="24"/>
        </w:rPr>
        <w:t>Abdelali, A., Mubarak, H., Chowdhury, S. A., Hasanain, M., Mousi, B., Boughorbel, S., El Kheir, Y., Izham, D., Dalvi, F., Hawasly, M., Nazar, N., Elshahawy, Y., Ali, A., Durrani, N., Milic-Frayling, N., &amp; Alam, F. (2023). *LAraBench: Benchmarking Arabic AI with large language models*. arXiv. https://arxiv.org/abs/2305.14982</w:t>
      </w:r>
    </w:p>
    <w:p>
      <w:pPr>
        <w:spacing w:line="480" w:lineRule="auto"/>
        <w:ind w:firstLine="720"/>
        <w:jc w:val="both"/>
      </w:pPr>
      <w:r>
        <w:rPr>
          <w:rFonts w:ascii="Times New Roman" w:hAnsi="Times New Roman"/>
          <w:sz w:val="24"/>
        </w:rPr>
        <w:t>Abdul-Mageed, M., AlHuzli, H., AlGhamdi, F., AlYami, A., AlGhamdi, S., Al-thubaity, S., Khalifa, S., &amp; Abdul-Mageed, A. (2020). The NADI 2020 shared task on Arabic dialect identification. In *Proceedings of the 5th Workshop on Open-Source Arabic Corpora and Processing Tools* (pp. 56–68). European Language Resources Association.</w:t>
      </w:r>
    </w:p>
    <w:p>
      <w:pPr>
        <w:spacing w:line="480" w:lineRule="auto"/>
        <w:ind w:firstLine="720"/>
        <w:jc w:val="both"/>
      </w:pPr>
      <w:r>
        <w:rPr>
          <w:rFonts w:ascii="Times New Roman" w:hAnsi="Times New Roman"/>
          <w:sz w:val="24"/>
        </w:rPr>
        <w:t>Abdulkader, A., &amp; Muhammad, A. (2024). A review of Arabic intelligent chatbots: Developments and challenges. *International Journal of Computer Science and Mobile Computing*.</w:t>
      </w:r>
    </w:p>
    <w:p>
      <w:pPr>
        <w:spacing w:line="480" w:lineRule="auto"/>
        <w:ind w:firstLine="720"/>
        <w:jc w:val="both"/>
      </w:pPr>
      <w:r>
        <w:rPr>
          <w:rFonts w:ascii="Times New Roman" w:hAnsi="Times New Roman"/>
          <w:sz w:val="24"/>
        </w:rPr>
        <w:t>Ahmed, M., Alfasly, S., Wen, B., Qasem, J., Ahmed, M., &amp; Liu, Y. (2024). *AlcLaM: Arabic dialectal language model*. arXiv. https://arxiv.org/abs/2407.13097</w:t>
      </w:r>
    </w:p>
    <w:p>
      <w:pPr>
        <w:spacing w:line="480" w:lineRule="auto"/>
        <w:ind w:firstLine="720"/>
        <w:jc w:val="both"/>
      </w:pPr>
      <w:r>
        <w:rPr>
          <w:rFonts w:ascii="Times New Roman" w:hAnsi="Times New Roman"/>
          <w:sz w:val="24"/>
        </w:rPr>
        <w:t>Al-Ghadhban, D., &amp; Al-Twairesh, N. (2020). Nabiha: An Arabic dialect chatbot. *International Journal of Advanced Computer Science and Applications*, *11*(3), 194–201.</w:t>
      </w:r>
    </w:p>
    <w:p>
      <w:pPr>
        <w:spacing w:line="480" w:lineRule="auto"/>
        <w:ind w:firstLine="720"/>
        <w:jc w:val="both"/>
      </w:pPr>
      <w:r>
        <w:rPr>
          <w:rFonts w:ascii="Times New Roman" w:hAnsi="Times New Roman"/>
          <w:sz w:val="24"/>
        </w:rPr>
        <w:t>Al-Khalifa, H., &amp; Al Omar, N. (2024). Trends and challenges of Arabic chatbots: Literature review. *Jordanian Journal of Computers and Information Technology*, *10*(3).</w:t>
      </w:r>
    </w:p>
    <w:p>
      <w:pPr>
        <w:spacing w:line="480" w:lineRule="auto"/>
        <w:ind w:firstLine="720"/>
        <w:jc w:val="both"/>
      </w:pPr>
      <w:r>
        <w:rPr>
          <w:rFonts w:ascii="Times New Roman" w:hAnsi="Times New Roman"/>
          <w:sz w:val="24"/>
        </w:rPr>
        <w:t>Al-Salman, A. M. S., &amp; Harraq, F. I. (2014). Al-`Arabizi min manzur hasubi: Lughatu al-shabab al-`Arabi fi wasail al-tawasul al-hadithah [Arabizi from a sociolinguistic perspective]. *Journal of Arabic Linguistics Studies*, 47–58.</w:t>
      </w:r>
    </w:p>
    <w:p>
      <w:pPr>
        <w:spacing w:line="480" w:lineRule="auto"/>
        <w:ind w:firstLine="720"/>
        <w:jc w:val="both"/>
      </w:pPr>
      <w:r>
        <w:rPr>
          <w:rFonts w:ascii="Times New Roman" w:hAnsi="Times New Roman"/>
          <w:sz w:val="24"/>
        </w:rPr>
        <w:t>AlHumoud, S., Al Wazrah, A., Alhussain, L., Al Dayel, A., Alobrah, M., &amp; Diab, M. (2018). *Rahhal: A tourist Arabic chatbot* (EasyChair Preprint).</w:t>
      </w:r>
    </w:p>
    <w:p>
      <w:pPr>
        <w:spacing w:line="480" w:lineRule="auto"/>
        <w:ind w:firstLine="720"/>
        <w:jc w:val="both"/>
      </w:pPr>
      <w:r>
        <w:rPr>
          <w:rFonts w:ascii="Times New Roman" w:hAnsi="Times New Roman"/>
          <w:sz w:val="24"/>
        </w:rPr>
        <w:t>Ali, M., &amp; Habash, N. (2016). BOTTA: An Arabic dialect chatbot. In *Proceedings of COLING 2016* (pp. 2080–2090). ACL. https://aclanthology.org/C16-2044/</w:t>
      </w:r>
    </w:p>
    <w:p>
      <w:pPr>
        <w:spacing w:line="480" w:lineRule="auto"/>
        <w:ind w:firstLine="720"/>
        <w:jc w:val="both"/>
      </w:pPr>
      <w:r>
        <w:rPr>
          <w:rFonts w:ascii="Times New Roman" w:hAnsi="Times New Roman"/>
          <w:sz w:val="24"/>
        </w:rPr>
        <w:t>Aljameel, S. S., O'Shea, J. D., Crockett, K. A., Latham, A., &amp; Kaleem, M. (2019). LANA-I: An Arabic conversational intelligent tutoring system for children with ASD. *KSII Transactions on Internet and Information Systems*, *13*(6), 2878–2897.</w:t>
      </w:r>
    </w:p>
    <w:p>
      <w:pPr>
        <w:spacing w:line="480" w:lineRule="auto"/>
        <w:ind w:firstLine="720"/>
        <w:jc w:val="both"/>
      </w:pPr>
      <w:r>
        <w:rPr>
          <w:rFonts w:ascii="Times New Roman" w:hAnsi="Times New Roman"/>
          <w:sz w:val="24"/>
        </w:rPr>
        <w:t>Bari, M. S., Alnumay, Y., Alzahrani, N. A., Alotaibi, N. M., Alyahya, H. A., AlRashed, S., Mirza, F. A., Alsubaie, S. Z., Alahmed, H. A., Alabduljabbar, G., Alkhathran, R., Almushayqih, Y., Alnajim, R., Alsubaihi, S., Al Mansour, M., Alrubaian, M., Alammari, A., Alawami, Z., Al-Thubaity, A., … Khan, H. (2024). *ALLaM: Large language models for Arabic and English*. arXiv. https://arxiv.org/abs/2407.15390</w:t>
      </w:r>
    </w:p>
    <w:p>
      <w:pPr>
        <w:spacing w:line="480" w:lineRule="auto"/>
        <w:ind w:firstLine="720"/>
        <w:jc w:val="both"/>
      </w:pPr>
      <w:r>
        <w:rPr>
          <w:rFonts w:ascii="Times New Roman" w:hAnsi="Times New Roman"/>
          <w:sz w:val="24"/>
        </w:rPr>
        <w:t>Barmandah, H. (2025). *Saudi-Dialect-ALLaM: LoRA fine-tuning for dialectal Arabic generation*. arXiv. https://arxiv.org/abs/2508.13525</w:t>
      </w:r>
    </w:p>
    <w:p>
      <w:pPr>
        <w:spacing w:line="480" w:lineRule="auto"/>
        <w:ind w:firstLine="720"/>
        <w:jc w:val="both"/>
      </w:pPr>
      <w:r>
        <w:rPr>
          <w:rFonts w:ascii="Times New Roman" w:hAnsi="Times New Roman"/>
          <w:sz w:val="24"/>
        </w:rPr>
        <w:t>Bouamor, H., Habash, N., Salameh, M., Hou, W., Julescu, A., Sajjad, H., &amp; Oflazer, K. (2018). The MADAR Arabic dialect corpus and lexicon. In *Proceedings of LREC 2018* (pp. 3387–3396). European Language Resources Association. https://aclanthology.org/L18-1535/</w:t>
      </w:r>
    </w:p>
    <w:p>
      <w:pPr>
        <w:spacing w:line="480" w:lineRule="auto"/>
        <w:ind w:firstLine="720"/>
        <w:jc w:val="both"/>
      </w:pPr>
      <w:r>
        <w:rPr>
          <w:rFonts w:ascii="Times New Roman" w:hAnsi="Times New Roman"/>
          <w:sz w:val="24"/>
        </w:rPr>
        <w:t>Bowlby, J. (1969). *Attachment and loss: Vol. 1. Attachment*. Basic Books.</w:t>
      </w:r>
    </w:p>
    <w:p>
      <w:pPr>
        <w:spacing w:line="480" w:lineRule="auto"/>
        <w:ind w:firstLine="720"/>
        <w:jc w:val="both"/>
      </w:pPr>
      <w:r>
        <w:rPr>
          <w:rFonts w:ascii="Times New Roman" w:hAnsi="Times New Roman"/>
          <w:sz w:val="24"/>
        </w:rPr>
        <w:t>Chang, H. (2008). *Autoethnography as method*. Left Coast Press.</w:t>
      </w:r>
    </w:p>
    <w:p>
      <w:pPr>
        <w:spacing w:line="480" w:lineRule="auto"/>
        <w:ind w:firstLine="720"/>
        <w:jc w:val="both"/>
      </w:pPr>
      <w:r>
        <w:rPr>
          <w:rFonts w:ascii="Times New Roman" w:hAnsi="Times New Roman"/>
          <w:sz w:val="24"/>
        </w:rPr>
        <w:t>Darwish, K., Sajjad, H., &amp; Mubarak, H. (2014). Verifiable identification of dialect and code-switching. In *Proceedings of the EMNLP 2014 Workshop on Arabic Natural Language Processing* (pp. 134–142). ACL.</w:t>
      </w:r>
    </w:p>
    <w:p>
      <w:pPr>
        <w:spacing w:line="480" w:lineRule="auto"/>
        <w:ind w:firstLine="720"/>
        <w:jc w:val="both"/>
      </w:pPr>
      <w:r>
        <w:rPr>
          <w:rFonts w:ascii="Times New Roman" w:hAnsi="Times New Roman"/>
          <w:sz w:val="24"/>
        </w:rPr>
        <w:t>De Freitas, J., Uguralp, A. K., Uguralp, Z. O., &amp; Stefano, P. (2024). AI companions reduce loneliness. *Computers in Human Behavior: Artificial Humans*, *1*(3), 100007. https://doi.org/10.1016/j.chbah.2024.100007</w:t>
      </w:r>
    </w:p>
    <w:p>
      <w:pPr>
        <w:spacing w:line="480" w:lineRule="auto"/>
        <w:ind w:firstLine="720"/>
        <w:jc w:val="both"/>
      </w:pPr>
      <w:r>
        <w:rPr>
          <w:rFonts w:ascii="Times New Roman" w:hAnsi="Times New Roman"/>
          <w:sz w:val="24"/>
        </w:rPr>
        <w:t>Desjardins, A., &amp; Wakkary, R. (2016). Living in a prototype: A reconfigured space. In *Proceedings of the 2016 CHI Conference* (pp. 5274–5285). ACM. https://doi.org/10.1145/2858036.2858261</w:t>
      </w:r>
    </w:p>
    <w:p>
      <w:pPr>
        <w:spacing w:line="480" w:lineRule="auto"/>
        <w:ind w:firstLine="720"/>
        <w:jc w:val="both"/>
      </w:pPr>
      <w:r>
        <w:rPr>
          <w:rFonts w:ascii="Times New Roman" w:hAnsi="Times New Roman"/>
          <w:sz w:val="24"/>
        </w:rPr>
        <w:t>Fang, C. M., Liu, A. R., Danry, V., Lee, E., Chan, S. W. T., Pataranutaporn, P., Maes, P., Phang, J., Lampe, M., Ahmad, L., &amp; Agarwal, S. (2025). *How AI and human behaviors shape psychosocial effects of extended chatbot use: A longitudinal randomized controlled study* (arXiv:2503.17473). arXiv. https://arxiv.org/abs/2503.17473</w:t>
      </w:r>
    </w:p>
    <w:p>
      <w:pPr>
        <w:spacing w:line="480" w:lineRule="auto"/>
        <w:ind w:firstLine="720"/>
        <w:jc w:val="both"/>
      </w:pPr>
      <w:r>
        <w:rPr>
          <w:rFonts w:ascii="Times New Roman" w:hAnsi="Times New Roman"/>
          <w:sz w:val="24"/>
        </w:rPr>
        <w:t>Hamed, I., Sabty, C., Abdennadher, S., Vu, N. T., Solorio, T., &amp; Habash, N. (2025). A survey of code-switched Arabic NLP: Progress, challenges, and future directions. In *Proceedings of COLING 2025* (pp. 1–18). ACL. https://aclanthology.org/2025.coling-main.307/</w:t>
      </w:r>
    </w:p>
    <w:p>
      <w:pPr>
        <w:spacing w:line="480" w:lineRule="auto"/>
        <w:ind w:firstLine="720"/>
        <w:jc w:val="both"/>
      </w:pPr>
      <w:r>
        <w:rPr>
          <w:rFonts w:ascii="Times New Roman" w:hAnsi="Times New Roman"/>
          <w:sz w:val="24"/>
        </w:rPr>
        <w:t>Harris, E. (2023). Surgeon General offers strategy to tackle epidemic of loneliness. *JAMA*, *329*(21), 1818. https://doi.org/10.1001/jama.2023.7987</w:t>
      </w:r>
    </w:p>
    <w:p>
      <w:pPr>
        <w:spacing w:line="480" w:lineRule="auto"/>
        <w:ind w:firstLine="720"/>
        <w:jc w:val="both"/>
      </w:pPr>
      <w:r>
        <w:rPr>
          <w:rFonts w:ascii="Times New Roman" w:hAnsi="Times New Roman"/>
          <w:sz w:val="24"/>
        </w:rPr>
        <w:t>Hevner, A. R., March, S. T., Park, J., &amp; Ram, S. (2004). Design science in information systems research. *MIS Quarterly*, *28*(1), 75–105.</w:t>
      </w:r>
    </w:p>
    <w:p>
      <w:pPr>
        <w:spacing w:line="480" w:lineRule="auto"/>
        <w:ind w:firstLine="720"/>
        <w:jc w:val="both"/>
      </w:pPr>
      <w:r>
        <w:rPr>
          <w:rFonts w:ascii="Times New Roman" w:hAnsi="Times New Roman"/>
          <w:sz w:val="24"/>
        </w:rPr>
        <w:t>Hoel, E., &amp; Sandvik, K. (2025). Cruel companionship: How AI companions exploit loneliness and commodify intimacy. *New Media &amp; Society*, online first. https://doi.org/10.1177/14614448251395192</w:t>
      </w:r>
    </w:p>
    <w:p>
      <w:pPr>
        <w:spacing w:line="480" w:lineRule="auto"/>
        <w:ind w:firstLine="720"/>
        <w:jc w:val="both"/>
      </w:pPr>
      <w:r>
        <w:rPr>
          <w:rFonts w:ascii="Times New Roman" w:hAnsi="Times New Roman"/>
          <w:sz w:val="24"/>
        </w:rPr>
        <w:t>Horton, D., &amp; Wohl, R. R. (1956). Mass communication and para-social interaction: Observations on intimacy at a distance. *Psychiatry*, *19*(3), 215–229. https://doi.org/10.1080/00332747.1956.11023049</w:t>
      </w:r>
    </w:p>
    <w:p>
      <w:pPr>
        <w:spacing w:line="480" w:lineRule="auto"/>
        <w:ind w:firstLine="720"/>
        <w:jc w:val="both"/>
      </w:pPr>
      <w:r>
        <w:rPr>
          <w:rFonts w:ascii="Times New Roman" w:hAnsi="Times New Roman"/>
          <w:sz w:val="24"/>
        </w:rPr>
        <w:t>Huang, H., Yu, F., Zhu, J., Sun, X., Cheng, H., Song, D., Chen, Z., Alharthi, A., An, B., He, J., Liu, Z., Zhang, Z., Chen, J., Li, J., Wang, B., Zhang, L., Sun, R., Wan, X., Li, H., &amp; Xu, J. (2024). AceGPT: Localizing large language models in Arabic. In *Proceedings of NAACL-HLT 2024* (pp. 8139–8163). ACL. https://aclanthology.org/2024.naacl-long.450/</w:t>
      </w:r>
    </w:p>
    <w:p>
      <w:pPr>
        <w:spacing w:line="480" w:lineRule="auto"/>
        <w:ind w:firstLine="720"/>
        <w:jc w:val="both"/>
      </w:pPr>
      <w:r>
        <w:rPr>
          <w:rFonts w:ascii="Times New Roman" w:hAnsi="Times New Roman"/>
          <w:sz w:val="24"/>
        </w:rPr>
        <w:t>Joshi, A., Dabre, R., Kanojia, D., Li, Z., Zhan, H., Haffari, G., &amp; Dippold, D. (2024). Natural language processing for dialects of a language: A survey. *ACM Computing Surveys*. https://doi.org/10.1145/3712060</w:t>
      </w:r>
    </w:p>
    <w:p>
      <w:pPr>
        <w:spacing w:line="480" w:lineRule="auto"/>
        <w:ind w:firstLine="720"/>
        <w:jc w:val="both"/>
      </w:pPr>
      <w:r>
        <w:rPr>
          <w:rFonts w:ascii="Times New Roman" w:hAnsi="Times New Roman"/>
          <w:sz w:val="24"/>
        </w:rPr>
        <w:t>Kaltenhauser, A., Stefanidi, E., Schönbeck, T. J., Averin, K., Dingler, T., Memar, A. H., &amp; Draxler, F. (2024). Playing with perspectives and unveiling the autoethnographic kaleidoscope in HCI. In *Proceedings of CHI 2024* (Article 819, pp. 1–20). ACM. https://doi.org/10.1145/3613904.3642355</w:t>
      </w:r>
    </w:p>
    <w:p>
      <w:pPr>
        <w:spacing w:line="480" w:lineRule="auto"/>
        <w:ind w:firstLine="720"/>
        <w:jc w:val="both"/>
      </w:pPr>
      <w:r>
        <w:rPr>
          <w:rFonts w:ascii="Times New Roman" w:hAnsi="Times New Roman"/>
          <w:sz w:val="24"/>
        </w:rPr>
        <w:t>Kasturiratna, D. T., &amp; Hartanto, A. (2025). Attachment to artificial intelligence: Development of the AI Attachment Scale. *Computers in Human Behavior: Artificial Humans*. https://doi.org/10.1016/j.chbah.2025.100045</w:t>
      </w:r>
    </w:p>
    <w:p>
      <w:pPr>
        <w:spacing w:line="480" w:lineRule="auto"/>
        <w:ind w:firstLine="720"/>
        <w:jc w:val="both"/>
      </w:pPr>
      <w:r>
        <w:rPr>
          <w:rFonts w:ascii="Times New Roman" w:hAnsi="Times New Roman"/>
          <w:sz w:val="24"/>
        </w:rPr>
        <w:t>Keleg, A., Goldwater, S., &amp; Magdy, W. (2023). *ALDi: Quantifying the Arabic level of dialectness of text* (arXiv:2310.13747). arXiv. https://arxiv.org/abs/2310.13747</w:t>
      </w:r>
    </w:p>
    <w:p>
      <w:pPr>
        <w:spacing w:line="480" w:lineRule="auto"/>
        <w:ind w:firstLine="720"/>
        <w:jc w:val="both"/>
      </w:pPr>
      <w:r>
        <w:rPr>
          <w:rFonts w:ascii="Times New Roman" w:hAnsi="Times New Roman"/>
          <w:sz w:val="24"/>
        </w:rPr>
        <w:t>Khondaker, M. T. I., Waheed, A., Nagoudi, E. M. B., &amp; Abdul-Mageed, M. (2023). *GPTAraEval: A comprehensive evaluation of ChatGPT on Arabic NLP*. arXiv. https://arxiv.org/abs/2305.14976</w:t>
      </w:r>
    </w:p>
    <w:p>
      <w:pPr>
        <w:spacing w:line="480" w:lineRule="auto"/>
        <w:ind w:firstLine="720"/>
        <w:jc w:val="both"/>
      </w:pPr>
      <w:r>
        <w:rPr>
          <w:rFonts w:ascii="Times New Roman" w:hAnsi="Times New Roman"/>
          <w:sz w:val="24"/>
        </w:rPr>
        <w:t>Lincoln, Y. S., &amp; Guba, E. G. (1985). *Naturalistic inquiry*. Sage.</w:t>
      </w:r>
    </w:p>
    <w:p>
      <w:pPr>
        <w:spacing w:line="480" w:lineRule="auto"/>
        <w:ind w:firstLine="720"/>
        <w:jc w:val="both"/>
      </w:pPr>
      <w:r>
        <w:rPr>
          <w:rFonts w:ascii="Times New Roman" w:hAnsi="Times New Roman"/>
          <w:sz w:val="24"/>
        </w:rPr>
        <w:t>Mashaabi, M., Al-Khalifa, S., &amp; Al-Khalifa, H. (2024). *A survey of large language models for Arabic language and its dialects* (arXiv:2410.20238). arXiv. https://arxiv.org/abs/2410.20238</w:t>
      </w:r>
    </w:p>
    <w:p>
      <w:pPr>
        <w:spacing w:line="480" w:lineRule="auto"/>
        <w:ind w:firstLine="720"/>
        <w:jc w:val="both"/>
      </w:pPr>
      <w:r>
        <w:rPr>
          <w:rFonts w:ascii="Times New Roman" w:hAnsi="Times New Roman"/>
          <w:sz w:val="24"/>
        </w:rPr>
        <w:t>Mubarak, H., &amp; Abdul-Mageed, M. (2019). *QADI: A country-level Arabic dialect identification dataset (1.0)* [Dataset]. ALT — Qatar Computing Research Institute. https://alt.qcri.org/resources/qadi/</w:t>
      </w:r>
    </w:p>
    <w:p>
      <w:pPr>
        <w:spacing w:line="480" w:lineRule="auto"/>
        <w:ind w:firstLine="720"/>
        <w:jc w:val="both"/>
      </w:pPr>
      <w:r>
        <w:rPr>
          <w:rFonts w:ascii="Times New Roman" w:hAnsi="Times New Roman"/>
          <w:sz w:val="24"/>
        </w:rPr>
        <w:t>Namvarpour, M., Pauwels, H., &amp; Razi, A. (2025). AI-induced sexual harassment: Investigating contextual characteristics and user reactions. *Proc. ACM on Human-Computer Interaction (CSCW)*. https://doi.org/10.1145/3757548</w:t>
      </w:r>
    </w:p>
    <w:p>
      <w:pPr>
        <w:spacing w:line="480" w:lineRule="auto"/>
        <w:ind w:firstLine="720"/>
        <w:jc w:val="both"/>
      </w:pPr>
      <w:r>
        <w:rPr>
          <w:rFonts w:ascii="Times New Roman" w:hAnsi="Times New Roman"/>
          <w:sz w:val="24"/>
        </w:rPr>
        <w:t>Neustaedter, C., &amp; Sengers, P. (2012). Autobiographical design in HCI research: Designing and learning through use-it-yourself. In *Proceedings of DIS 2012* (pp. 514–523). ACM. https://doi.org/10.1145/2317956.2318034</w:t>
      </w:r>
    </w:p>
    <w:p>
      <w:pPr>
        <w:spacing w:line="480" w:lineRule="auto"/>
        <w:ind w:firstLine="720"/>
        <w:jc w:val="both"/>
      </w:pPr>
      <w:r>
        <w:rPr>
          <w:rFonts w:ascii="Times New Roman" w:hAnsi="Times New Roman"/>
          <w:sz w:val="24"/>
        </w:rPr>
        <w:t>Office of the U.S. Surgeon General. (2023). *Our epidemic of loneliness and isolation: The U.S. Surgeon General's advisory on the healing effects of social connection and community*. U.S. Department of Health and Human Services. https://www.hhs.gov/sites/default/files/surgeon-general-social-connection-advisory.pdf</w:t>
      </w:r>
    </w:p>
    <w:p>
      <w:pPr>
        <w:spacing w:line="480" w:lineRule="auto"/>
        <w:ind w:firstLine="720"/>
        <w:jc w:val="both"/>
      </w:pPr>
      <w:r>
        <w:rPr>
          <w:rFonts w:ascii="Times New Roman" w:hAnsi="Times New Roman"/>
          <w:sz w:val="24"/>
        </w:rPr>
        <w:t>Peffers, K., Tuunanen, T., Rothenberger, M. A., &amp; Chatterjee, S. (2007). A design science research methodology for information systems research. *Journal of Management Information Systems*, *24*(3), 45–77. https://doi.org/10.2753/MIS0742-1222240302</w:t>
      </w:r>
    </w:p>
    <w:p>
      <w:pPr>
        <w:spacing w:line="480" w:lineRule="auto"/>
        <w:ind w:firstLine="720"/>
        <w:jc w:val="both"/>
      </w:pPr>
      <w:r>
        <w:rPr>
          <w:rFonts w:ascii="Times New Roman" w:hAnsi="Times New Roman"/>
          <w:sz w:val="24"/>
        </w:rPr>
        <w:t>Qatar Computing Research Institute. (2025). *Fanar: An Arabic-centric multimodal generative AI platform*. arXiv. https://arxiv.org/abs/2501.13944</w:t>
      </w:r>
    </w:p>
    <w:p>
      <w:pPr>
        <w:spacing w:line="480" w:lineRule="auto"/>
        <w:ind w:firstLine="720"/>
        <w:jc w:val="both"/>
      </w:pPr>
      <w:r>
        <w:rPr>
          <w:rFonts w:ascii="Times New Roman" w:hAnsi="Times New Roman"/>
          <w:sz w:val="24"/>
        </w:rPr>
        <w:t>Rhel, H., &amp; Roussinov, D. (2025). *Large language models and Arabic content: A review* (arXiv:2505.08004). arXiv. https://arxiv.org/abs/2505.08004</w:t>
      </w:r>
    </w:p>
    <w:p>
      <w:pPr>
        <w:spacing w:line="480" w:lineRule="auto"/>
        <w:ind w:firstLine="720"/>
        <w:jc w:val="both"/>
      </w:pPr>
      <w:r>
        <w:rPr>
          <w:rFonts w:ascii="Times New Roman" w:hAnsi="Times New Roman"/>
          <w:sz w:val="24"/>
        </w:rPr>
        <w:t>Rosenberger, R. (2018). A postphenomenological method for HCI research. In *Proceedings of OzCHI 2018* (pp. 242–251). ACM. https://doi.org/10.1145/3292147.3292170</w:t>
      </w:r>
    </w:p>
    <w:p>
      <w:pPr>
        <w:spacing w:line="480" w:lineRule="auto"/>
        <w:ind w:firstLine="720"/>
        <w:jc w:val="both"/>
      </w:pPr>
      <w:r>
        <w:rPr>
          <w:rFonts w:ascii="Times New Roman" w:hAnsi="Times New Roman"/>
          <w:sz w:val="24"/>
        </w:rPr>
        <w:t>Sabty, C. (2024). *Computational approaches to Arabic-English code-switching* (arXiv:2410.13318). arXiv. https://arxiv.org/abs/2410.13318</w:t>
      </w:r>
    </w:p>
    <w:p>
      <w:pPr>
        <w:spacing w:line="480" w:lineRule="auto"/>
        <w:ind w:firstLine="720"/>
        <w:jc w:val="both"/>
      </w:pPr>
      <w:r>
        <w:rPr>
          <w:rFonts w:ascii="Times New Roman" w:hAnsi="Times New Roman"/>
          <w:sz w:val="24"/>
        </w:rPr>
        <w:t>Sabty, C., Mesabah, I., Çetinoğlu, Ö., &amp; Abdennadher, S. (2021). Language identification of intra-word code-switching for Arabic–English. *Journal of King Saud University — Computer and Information Sciences*. https://doi.org/10.1016/j.jksuci.2021.06.018</w:t>
      </w:r>
    </w:p>
    <w:p>
      <w:pPr>
        <w:spacing w:line="480" w:lineRule="auto"/>
        <w:ind w:firstLine="720"/>
        <w:jc w:val="both"/>
      </w:pPr>
      <w:r>
        <w:rPr>
          <w:rFonts w:ascii="Times New Roman" w:hAnsi="Times New Roman"/>
          <w:sz w:val="24"/>
        </w:rPr>
        <w:t>Sengupta, N., Sahu, S. K., Jia, B., Katipomu, S., Li, H., Koto, F., Marshall, W., Gosal, G., Liu, C., Chen, Z., Afzal, O. M., Kamboj, S., Pandit, O., Pal, R., Pradhan, L., Mujahid, Z. M., Baali, M., Han, X., Bsharat, S. M., … Baldwin, T. (2023). *Jais and Jais-chat: Arabic-centric foundation and instruction-tuned open generative large language models*. arXiv. https://arxiv.org/abs/2308.16149</w:t>
      </w:r>
    </w:p>
    <w:p>
      <w:pPr>
        <w:spacing w:line="480" w:lineRule="auto"/>
        <w:ind w:firstLine="720"/>
        <w:jc w:val="both"/>
      </w:pPr>
      <w:r>
        <w:rPr>
          <w:rFonts w:ascii="Times New Roman" w:hAnsi="Times New Roman"/>
          <w:sz w:val="24"/>
        </w:rPr>
        <w:t>Shoufan, A., &amp; Alameri, S. (2015). Natural language processing for dialectical Arabic: A survey. In *Proceedings of the Second Workshop on Arabic Natural Language Processing* (pp. 36–48). ACL. https://aclanthology.org/W15-3205/</w:t>
      </w:r>
    </w:p>
    <w:p>
      <w:pPr>
        <w:spacing w:line="480" w:lineRule="auto"/>
        <w:ind w:firstLine="720"/>
        <w:jc w:val="both"/>
      </w:pPr>
      <w:r>
        <w:rPr>
          <w:rFonts w:ascii="Times New Roman" w:hAnsi="Times New Roman"/>
          <w:sz w:val="24"/>
        </w:rPr>
        <w:t>Shu, C., Lai, K., &amp; He, L. (2026). Human-AI attachment: How humans develop intimate relationships with AI. *Frontiers in Psychology*, *17*, 1723503. https://doi.org/10.3389/fpsyg.2026.1723503</w:t>
      </w:r>
    </w:p>
    <w:p>
      <w:pPr>
        <w:spacing w:line="480" w:lineRule="auto"/>
        <w:ind w:firstLine="720"/>
        <w:jc w:val="both"/>
      </w:pPr>
      <w:r>
        <w:rPr>
          <w:rFonts w:ascii="Times New Roman" w:hAnsi="Times New Roman"/>
          <w:sz w:val="24"/>
        </w:rPr>
        <w:t>Skjuve, M., Brandtzaeg, P. B., &amp; Følstad, A. (2022). My AI friend: How users of a social chatbot understand their human-AI friendship. *Human Communication Research*, *48*(3), 404–429. https://doi.org/10.1093/hcr/iqac008</w:t>
      </w:r>
    </w:p>
    <w:p>
      <w:pPr>
        <w:spacing w:line="480" w:lineRule="auto"/>
        <w:ind w:firstLine="720"/>
        <w:jc w:val="both"/>
      </w:pPr>
      <w:r>
        <w:rPr>
          <w:rFonts w:ascii="Times New Roman" w:hAnsi="Times New Roman"/>
          <w:sz w:val="24"/>
        </w:rPr>
        <w:t>Suchman, L. (2007). *Human-machine reconfigurations: Plans and situated actions* (2nd ed.). Cambridge University Press.</w:t>
      </w:r>
    </w:p>
    <w:p>
      <w:pPr>
        <w:spacing w:line="480" w:lineRule="auto"/>
        <w:ind w:firstLine="720"/>
        <w:jc w:val="both"/>
      </w:pPr>
      <w:r>
        <w:rPr>
          <w:rFonts w:ascii="Times New Roman" w:hAnsi="Times New Roman"/>
          <w:sz w:val="24"/>
        </w:rPr>
        <w:t>UNESCO. (2021). *Recommendation on the ethics of artificial intelligence*. UNESCO General Conference, 41st session. https://www.unesco.org/en/artificial-intelligence/recommendation-ethics</w:t>
      </w:r>
    </w:p>
    <w:p>
      <w:pPr>
        <w:spacing w:line="480" w:lineRule="auto"/>
        <w:ind w:firstLine="720"/>
        <w:jc w:val="both"/>
      </w:pPr>
      <w:r>
        <w:rPr>
          <w:rFonts w:ascii="Times New Roman" w:hAnsi="Times New Roman"/>
          <w:sz w:val="24"/>
        </w:rPr>
        <w:t>Venable, J., Pries-Heje, J., &amp; Baskerville, R. (2012). FEDS: A framework for evaluation in design science research. *European Journal of Information Systems*, *21*(1), 77–89. https://doi.org/10.1057/ejis.2011.36</w:t>
      </w:r>
    </w:p>
    <w:p>
      <w:pPr>
        <w:spacing w:line="480" w:lineRule="auto"/>
        <w:ind w:firstLine="720"/>
        <w:jc w:val="both"/>
      </w:pPr>
      <w:r>
        <w:rPr>
          <w:rFonts w:ascii="Times New Roman" w:hAnsi="Times New Roman"/>
          <w:sz w:val="24"/>
        </w:rPr>
        <w:t>Verbeek, P.-P. (2005). *What things do: Philosophical reflections on technology, agency, and design* (R. P. Crease, Trans.). Penn State Press.</w:t>
      </w:r>
    </w:p>
    <w:p>
      <w:pPr>
        <w:spacing w:line="480" w:lineRule="auto"/>
        <w:ind w:firstLine="720"/>
        <w:jc w:val="both"/>
      </w:pPr>
      <w:r>
        <w:rPr>
          <w:rFonts w:ascii="Times New Roman" w:hAnsi="Times New Roman"/>
          <w:sz w:val="24"/>
        </w:rPr>
        <w:t>Voida, S., &amp; Mynatt, E. D. (2009). It feels better than filing: Everyday work experiences in an activity-based computing system. In *Proceedings of CHI 2009* (pp. 259–268). ACM. https://doi.org/10.1145/1518701.1518744</w:t>
      </w:r>
    </w:p>
    <w:p>
      <w:pPr>
        <w:spacing w:line="480" w:lineRule="auto"/>
        <w:ind w:firstLine="720"/>
        <w:jc w:val="both"/>
      </w:pPr>
      <w:r>
        <w:rPr>
          <w:rFonts w:ascii="Times New Roman" w:hAnsi="Times New Roman"/>
          <w:sz w:val="24"/>
        </w:rPr>
        <w:t>Walls, J. G., Widmeyer, G. R., &amp; El Sawy, O. A. (1992). Building an information system design theory for vigilant EIS. *Information Systems Research*, *3*(1), 36–59.</w:t>
      </w:r>
    </w:p>
    <w:p>
      <w:pPr>
        <w:spacing w:line="480" w:lineRule="auto"/>
        <w:ind w:firstLine="720"/>
        <w:jc w:val="both"/>
      </w:pPr>
      <w:r>
        <w:rPr>
          <w:rFonts w:ascii="Times New Roman" w:hAnsi="Times New Roman"/>
          <w:sz w:val="24"/>
        </w:rPr>
        <w:t>World Health Organization. (2021). *Social isolation and loneliness among older people: Advocacy brief*. WHO. https://www.who.int/publications/i/item/9789240030749</w:t>
      </w:r>
    </w:p>
    <w:p>
      <w:pPr>
        <w:spacing w:line="480" w:lineRule="auto"/>
        <w:ind w:firstLine="720"/>
        <w:jc w:val="both"/>
      </w:pPr>
      <w:r>
        <w:rPr>
          <w:rFonts w:ascii="Times New Roman" w:hAnsi="Times New Roman"/>
          <w:sz w:val="24"/>
        </w:rPr>
        <w:t>Yuan, Y., Zhang, J., Aledavood, T., Zhang, R., &amp; Saha, K. (2025). Mental health impacts of AI companions: Triangulating self-report, usage, and chat data. *Proc. ACM (CSCW)*. https://dl.acm.org/doi/10.1145/3772318.3790558</w:t>
      </w:r>
    </w:p>
    <w:p>
      <w:pPr>
        <w:spacing w:line="480" w:lineRule="auto"/>
        <w:ind w:firstLine="720"/>
        <w:jc w:val="both"/>
      </w:pPr>
      <w:r>
        <w:rPr>
          <w:rFonts w:ascii="Times New Roman" w:hAnsi="Times New Roman"/>
          <w:sz w:val="24"/>
        </w:rPr>
        <w:t>Zhang, Y., Zhao, D., Hancock, J. T., Kraut, R., &amp; Yang, D. (2025). *The rise of AI companions: Interaction with AI companions and psychological well-being* (arXiv:2506.12605). arXiv. https://arxiv.org/abs/2506.12605</w:t>
      </w:r>
    </w:p>
    <w:p>
      <w:pPr>
        <w:pStyle w:val="Heading2"/>
        <w:jc w:val="left"/>
      </w:pPr>
      <w:r>
        <w:rPr>
          <w:rFonts w:ascii="Times New Roman" w:hAnsi="Times New Roman"/>
          <w:b/>
          <w:color w:val="000000"/>
          <w:sz w:val="24"/>
        </w:rPr>
        <w:t>Appendix A</w:t>
      </w:r>
    </w:p>
    <w:p>
      <w:pPr>
        <w:pStyle w:val="Heading3"/>
      </w:pPr>
      <w:r>
        <w:rPr>
          <w:rFonts w:ascii="Times New Roman" w:hAnsi="Times New Roman"/>
          <w:b/>
          <w:i/>
          <w:sz w:val="24"/>
        </w:rPr>
        <w:t>Artifact pointer</w:t>
      </w:r>
    </w:p>
    <w:p>
      <w:pPr>
        <w:spacing w:line="480" w:lineRule="auto"/>
        <w:ind w:firstLine="720"/>
        <w:jc w:val="both"/>
      </w:pPr>
      <w:r>
        <w:rPr>
          <w:rFonts w:ascii="Times New Roman" w:hAnsi="Times New Roman"/>
          <w:sz w:val="24"/>
        </w:rPr>
        <w:t>The constructive artifact documented in this paper — Rafiq, versions v1.0 through v5.0 — is publicly available at:</w:t>
      </w:r>
    </w:p>
    <w:p>
      <w:pPr>
        <w:spacing w:line="480" w:lineRule="auto"/>
        <w:ind w:firstLine="720"/>
        <w:jc w:val="both"/>
      </w:pPr>
      <w:r>
        <w:rPr>
          <w:rFonts w:ascii="Times New Roman" w:hAnsi="Times New Roman"/>
          <w:sz w:val="24"/>
        </w:rPr>
        <w:t>**GitHub:** https://github.com/imMamdouhaboammar/Rafiq-Vercel</w:t>
      </w:r>
    </w:p>
    <w:p>
      <w:pPr>
        <w:spacing w:line="480" w:lineRule="auto"/>
        <w:ind w:firstLine="720"/>
        <w:jc w:val="both"/>
      </w:pPr>
      <w:r>
        <w:rPr>
          <w:rFonts w:ascii="Times New Roman" w:hAnsi="Times New Roman"/>
          <w:sz w:val="24"/>
        </w:rPr>
        <w:t>The repository contains the source code, the architectural documentation (README, architecture diagrams, code-graph visualizations), the lit-track files, the synthesis, the framework, this manuscript, and a forthcoming APA-7-formatted .docx production.</w:t>
      </w:r>
    </w:p>
    <w:p>
      <w:pPr>
        <w:spacing w:line="480" w:lineRule="auto"/>
        <w:ind w:firstLine="720"/>
        <w:jc w:val="both"/>
      </w:pPr>
      <w:r>
        <w:rPr>
          <w:rFonts w:ascii="Times New Roman" w:hAnsi="Times New Roman"/>
          <w:sz w:val="24"/>
        </w:rPr>
        <w:t>The artifact is under active development by the author; the major-version tag of the version this paper documents is v5.0. The repository includes issue logs that constitute the design-decision audit trail Section 4.5 references.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APA">
    <w:name w:val="Title APA"/>
    <w:pPr>
      <w:jc w:val="center"/>
    </w:pPr>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